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C58BE" w:rsidP="00BA1890">
      <w:pPr>
        <w:jc w:val="center"/>
        <w:rPr>
          <w:rFonts w:ascii="Tahoma" w:hAnsi="Tahoma" w:cs="Tahoma"/>
          <w:b/>
          <w:color w:val="0070C0"/>
        </w:rPr>
      </w:pPr>
      <w:r>
        <w:rPr>
          <w:rFonts w:ascii="Tahoma" w:hAnsi="Tahoma" w:cs="Tahoma"/>
          <w:b/>
          <w:color w:val="0070C0"/>
          <w:sz w:val="24"/>
          <w:szCs w:val="24"/>
        </w:rPr>
        <w:t xml:space="preserve">Sukcesywne dostawy </w:t>
      </w:r>
      <w:r w:rsidR="00147350">
        <w:rPr>
          <w:rFonts w:ascii="Tahoma" w:hAnsi="Tahoma" w:cs="Tahoma"/>
          <w:b/>
          <w:color w:val="0070C0"/>
          <w:sz w:val="24"/>
          <w:szCs w:val="24"/>
        </w:rPr>
        <w:t>chemii profesjonalnej i gospodarczej, środków do mycia i dezynfekcji, środków piorących, wskaźników biologicznych i testów wskaźników do sterylizacji parą wodną oraz innych preparatów i materiałów do dezynfekcji.</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(złożyć  wypełniony)</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E33D9F" w:rsidRDefault="009E643E" w:rsidP="00307762">
      <w:pPr>
        <w:tabs>
          <w:tab w:val="left" w:pos="360"/>
          <w:tab w:val="left" w:pos="993"/>
        </w:tabs>
        <w:rPr>
          <w:rFonts w:ascii="Tahoma" w:hAnsi="Tahoma" w:cs="Tahoma"/>
          <w:strike/>
          <w:color w:val="0070C0"/>
          <w:sz w:val="18"/>
          <w:szCs w:val="18"/>
        </w:rPr>
      </w:pPr>
      <w:r w:rsidRPr="00E33D9F">
        <w:rPr>
          <w:rFonts w:ascii="Tahoma" w:hAnsi="Tahoma"/>
          <w:strike/>
          <w:sz w:val="18"/>
          <w:szCs w:val="18"/>
        </w:rPr>
        <w:t>5</w:t>
      </w:r>
      <w:r w:rsidR="004F58A5" w:rsidRPr="00E33D9F">
        <w:rPr>
          <w:rFonts w:ascii="Tahoma" w:hAnsi="Tahoma"/>
          <w:strike/>
          <w:sz w:val="18"/>
          <w:szCs w:val="18"/>
        </w:rPr>
        <w:t xml:space="preserve">.  </w:t>
      </w:r>
      <w:r w:rsidR="004C3E2A" w:rsidRPr="00E33D9F">
        <w:rPr>
          <w:rFonts w:ascii="Tahoma" w:hAnsi="Tahoma"/>
          <w:strike/>
          <w:sz w:val="18"/>
          <w:szCs w:val="18"/>
        </w:rPr>
        <w:t xml:space="preserve"> </w:t>
      </w:r>
      <w:r w:rsidR="00307762" w:rsidRPr="00E33D9F">
        <w:rPr>
          <w:rFonts w:ascii="Tahoma" w:hAnsi="Tahoma"/>
          <w:strike/>
          <w:sz w:val="18"/>
          <w:szCs w:val="18"/>
        </w:rPr>
        <w:t xml:space="preserve">Oświadczenie wykonawcy dotyczące spełnienia warunków udziału w postępowaniu </w:t>
      </w:r>
      <w:r w:rsidR="00307762" w:rsidRPr="00E33D9F">
        <w:rPr>
          <w:rFonts w:ascii="Tahoma" w:hAnsi="Tahoma" w:cs="Tahoma"/>
          <w:strike/>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E33D9F">
        <w:rPr>
          <w:rFonts w:ascii="Tahoma" w:hAnsi="Tahoma" w:cs="Tahoma"/>
          <w:strike/>
          <w:color w:val="0070C0"/>
          <w:sz w:val="18"/>
          <w:szCs w:val="18"/>
        </w:rPr>
        <w:t xml:space="preserve">                                                                                                                                </w:t>
      </w:r>
      <w:r w:rsidR="00307762" w:rsidRPr="00E33D9F">
        <w:rPr>
          <w:rFonts w:ascii="Tahoma" w:hAnsi="Tahoma" w:cs="Tahoma"/>
          <w:strike/>
          <w:color w:val="0070C0"/>
          <w:sz w:val="18"/>
          <w:szCs w:val="18"/>
        </w:rPr>
        <w:t>załączyć do oferty)</w:t>
      </w:r>
      <w:r w:rsidR="00307762" w:rsidRPr="008C4971">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 Pakiety 1-7, 10-15.</w:t>
      </w:r>
    </w:p>
    <w:p w:rsidR="00C16CB7" w:rsidRDefault="007445CC" w:rsidP="004F58A5">
      <w:pPr>
        <w:rPr>
          <w:rFonts w:ascii="Tahoma" w:hAnsi="Tahoma"/>
          <w:sz w:val="18"/>
          <w:szCs w:val="18"/>
        </w:rPr>
      </w:pPr>
      <w:r>
        <w:rPr>
          <w:rFonts w:ascii="Tahoma" w:hAnsi="Tahoma"/>
          <w:sz w:val="18"/>
          <w:szCs w:val="18"/>
        </w:rPr>
        <w:t>9.1. Projekt umowy Pakiet 8, 9</w:t>
      </w:r>
    </w:p>
    <w:p w:rsidR="004F58A5" w:rsidRPr="008C4971" w:rsidRDefault="00C16CB7" w:rsidP="004F58A5">
      <w:pPr>
        <w:rPr>
          <w:rFonts w:ascii="Tahoma" w:hAnsi="Tahoma"/>
          <w:sz w:val="18"/>
          <w:szCs w:val="18"/>
        </w:rPr>
      </w:pPr>
      <w:r>
        <w:rPr>
          <w:rFonts w:ascii="Tahoma" w:hAnsi="Tahoma"/>
          <w:sz w:val="18"/>
          <w:szCs w:val="18"/>
        </w:rPr>
        <w:t>9.2. Projekt umowy Pakiet 16</w:t>
      </w:r>
      <w:r w:rsidR="001C0CAA" w:rsidRPr="008C4971">
        <w:rPr>
          <w:rFonts w:ascii="Tahoma" w:hAnsi="Tahoma"/>
          <w:sz w:val="18"/>
          <w:szCs w:val="18"/>
        </w:rPr>
        <w:t xml:space="preserve"> </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356DC1"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01E8" w:rsidRPr="00C92B5D"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E7EF3">
        <w:rPr>
          <w:rFonts w:ascii="Tahoma" w:hAnsi="Tahoma" w:cs="Tahoma"/>
          <w:sz w:val="18"/>
          <w:szCs w:val="18"/>
        </w:rPr>
        <w:t xml:space="preserve">Zamawiający </w:t>
      </w:r>
      <w:r w:rsidR="008E7EF3">
        <w:rPr>
          <w:rFonts w:ascii="Tahoma" w:hAnsi="Tahoma" w:cs="Tahoma"/>
          <w:b/>
          <w:sz w:val="18"/>
          <w:szCs w:val="18"/>
        </w:rPr>
        <w:t>dopuszcza</w:t>
      </w:r>
      <w:r w:rsidR="008E7EF3">
        <w:rPr>
          <w:rFonts w:ascii="Tahoma" w:hAnsi="Tahoma" w:cs="Tahoma"/>
          <w:sz w:val="18"/>
          <w:szCs w:val="18"/>
        </w:rPr>
        <w:t xml:space="preserve"> składanie ofert częściowych. </w:t>
      </w:r>
      <w:r w:rsidR="008E7EF3">
        <w:rPr>
          <w:rFonts w:ascii="Tahoma" w:hAnsi="Tahoma" w:cs="Tahoma"/>
          <w:b/>
          <w:bCs/>
          <w:sz w:val="18"/>
          <w:szCs w:val="18"/>
          <w:u w:val="single"/>
        </w:rPr>
        <w:t xml:space="preserve">Liczba pakietów - 16. </w:t>
      </w:r>
      <w:r w:rsidR="008E7EF3">
        <w:rPr>
          <w:rFonts w:ascii="Arial" w:hAnsi="Arial"/>
          <w:b/>
          <w:bCs/>
          <w:u w:val="single"/>
        </w:rPr>
        <w:t xml:space="preserve">Za ofertę częściową Zamawiający uzna ofertę złożoną na wszystkie pozycje w danym pakiecie. </w:t>
      </w:r>
      <w:r w:rsidRPr="00C92B5D">
        <w:rPr>
          <w:rFonts w:ascii="Tahoma" w:hAnsi="Tahoma" w:cs="Tahoma"/>
          <w:sz w:val="18"/>
          <w:szCs w:val="18"/>
        </w:rPr>
        <w:t xml:space="preserve"> </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00132A5B">
        <w:rPr>
          <w:rFonts w:ascii="Tahoma" w:hAnsi="Tahoma" w:cs="Tahoma"/>
          <w:sz w:val="18"/>
          <w:szCs w:val="18"/>
        </w:rPr>
        <w:t xml:space="preserve">Zamawiający </w:t>
      </w:r>
      <w:r w:rsidR="00AC58BE">
        <w:rPr>
          <w:rFonts w:ascii="Tahoma" w:hAnsi="Tahoma" w:cs="Tahoma"/>
          <w:b/>
          <w:sz w:val="18"/>
          <w:szCs w:val="18"/>
        </w:rPr>
        <w:t xml:space="preserve">nie </w:t>
      </w:r>
      <w:r w:rsidR="00132A5B">
        <w:rPr>
          <w:rFonts w:ascii="Tahoma" w:hAnsi="Tahoma" w:cs="Tahoma"/>
          <w:b/>
          <w:sz w:val="18"/>
          <w:szCs w:val="18"/>
        </w:rPr>
        <w:t>dopuszcza</w:t>
      </w:r>
      <w:r w:rsidR="00132A5B">
        <w:rPr>
          <w:rFonts w:ascii="Tahoma" w:hAnsi="Tahoma" w:cs="Tahoma"/>
          <w:sz w:val="18"/>
          <w:szCs w:val="18"/>
        </w:rPr>
        <w:t xml:space="preserve"> składanie ofert częściowych.</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132A5B">
      <w:pPr>
        <w:tabs>
          <w:tab w:val="num" w:pos="284"/>
        </w:tabs>
        <w:spacing w:line="276" w:lineRule="auto"/>
        <w:ind w:left="284" w:hanging="284"/>
        <w:jc w:val="both"/>
        <w:rPr>
          <w:rFonts w:ascii="Tahoma" w:hAnsi="Tahoma" w:cs="Tahoma"/>
          <w:sz w:val="18"/>
          <w:szCs w:val="18"/>
        </w:rPr>
      </w:pPr>
      <w:r w:rsidRPr="00701DC7">
        <w:rPr>
          <w:rFonts w:ascii="Tahoma" w:hAnsi="Tahoma" w:cs="Tahoma"/>
          <w:sz w:val="18"/>
          <w:szCs w:val="18"/>
        </w:rPr>
        <w:t xml:space="preserve">2.3.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rsidR="00701DC7" w:rsidRDefault="009E643E" w:rsidP="00132A5B">
      <w:pPr>
        <w:tabs>
          <w:tab w:val="num" w:pos="284"/>
        </w:tabs>
        <w:spacing w:after="240" w:line="276" w:lineRule="auto"/>
        <w:ind w:left="284" w:hanging="284"/>
        <w:jc w:val="both"/>
        <w:rPr>
          <w:rFonts w:ascii="Tahoma" w:hAnsi="Tahoma" w:cs="Tahoma"/>
          <w:b/>
          <w:sz w:val="18"/>
          <w:szCs w:val="18"/>
        </w:rPr>
      </w:pPr>
      <w:r>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lastRenderedPageBreak/>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8E7EF3" w:rsidRPr="008E7EF3">
        <w:rPr>
          <w:rFonts w:ascii="Tahoma" w:hAnsi="Tahoma" w:cs="Tahoma"/>
          <w:b/>
          <w:color w:val="0070C0"/>
          <w:sz w:val="18"/>
          <w:szCs w:val="18"/>
        </w:rPr>
        <w:t>Sukcesywne dostawy chemii profesjonalnej i gospodarczej, środków do mycia i dezynfekcji, środków piorących, wskaźników biologicznych i testów wskaźników do sterylizacji parą wodną oraz innych preparatów i materiałów do dezynfekcji</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AA1E67">
        <w:rPr>
          <w:rFonts w:ascii="Tahoma" w:hAnsi="Tahoma" w:cs="Tahoma"/>
          <w:sz w:val="18"/>
          <w:szCs w:val="18"/>
        </w:rPr>
        <w:t xml:space="preserve"> SIWZ - </w:t>
      </w:r>
      <w:r w:rsidR="009E643E">
        <w:rPr>
          <w:rFonts w:ascii="Tahoma" w:hAnsi="Tahoma" w:cs="Tahoma"/>
          <w:sz w:val="18"/>
          <w:szCs w:val="18"/>
        </w:rPr>
        <w:t xml:space="preserve"> Formularz cenowy</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8E7EF3" w:rsidRDefault="00132A5B" w:rsidP="00132A5B">
      <w:pPr>
        <w:tabs>
          <w:tab w:val="left" w:pos="1942"/>
        </w:tabs>
        <w:spacing w:line="276" w:lineRule="auto"/>
        <w:jc w:val="both"/>
        <w:rPr>
          <w:rFonts w:ascii="Tahoma" w:hAnsi="Tahoma"/>
          <w:b/>
          <w:bCs/>
          <w:sz w:val="18"/>
        </w:rPr>
      </w:pPr>
      <w:r>
        <w:rPr>
          <w:rFonts w:ascii="Tahoma" w:hAnsi="Tahoma"/>
          <w:b/>
          <w:bCs/>
          <w:sz w:val="18"/>
        </w:rPr>
        <w:t>3.2. Kod CPV:</w:t>
      </w:r>
      <w:r w:rsidR="008E7EF3">
        <w:rPr>
          <w:rFonts w:ascii="Tahoma" w:hAnsi="Tahoma"/>
          <w:b/>
          <w:bCs/>
          <w:sz w:val="18"/>
        </w:rPr>
        <w:t xml:space="preserve"> 39.80.00.00-0 Środki czyszczące i polerujące</w:t>
      </w:r>
    </w:p>
    <w:p w:rsidR="00EF1AAC" w:rsidRDefault="008E7EF3" w:rsidP="008E7EF3">
      <w:pPr>
        <w:spacing w:line="276" w:lineRule="auto"/>
        <w:ind w:left="1276"/>
        <w:jc w:val="both"/>
        <w:rPr>
          <w:rFonts w:ascii="Tahoma" w:hAnsi="Tahoma" w:cs="Tahoma"/>
          <w:b/>
          <w:sz w:val="18"/>
          <w:szCs w:val="18"/>
        </w:rPr>
      </w:pPr>
      <w:r w:rsidRPr="008E7EF3">
        <w:rPr>
          <w:rFonts w:ascii="Tahoma" w:hAnsi="Tahoma" w:cs="Tahoma"/>
          <w:b/>
          <w:sz w:val="18"/>
          <w:szCs w:val="18"/>
        </w:rPr>
        <w:t>3</w:t>
      </w:r>
      <w:r>
        <w:rPr>
          <w:rFonts w:ascii="Tahoma" w:hAnsi="Tahoma" w:cs="Tahoma"/>
          <w:b/>
          <w:sz w:val="18"/>
          <w:szCs w:val="18"/>
        </w:rPr>
        <w:t>3.76.10.00-2 Papier toaletowy</w:t>
      </w:r>
    </w:p>
    <w:p w:rsidR="008E7EF3" w:rsidRDefault="008E7EF3" w:rsidP="008E7EF3">
      <w:pPr>
        <w:spacing w:line="276" w:lineRule="auto"/>
        <w:ind w:left="1276"/>
        <w:jc w:val="both"/>
        <w:rPr>
          <w:rFonts w:ascii="Tahoma" w:hAnsi="Tahoma" w:cs="Tahoma"/>
          <w:b/>
          <w:sz w:val="18"/>
          <w:szCs w:val="18"/>
        </w:rPr>
      </w:pPr>
      <w:r>
        <w:rPr>
          <w:rFonts w:ascii="Tahoma" w:hAnsi="Tahoma" w:cs="Tahoma"/>
          <w:b/>
          <w:sz w:val="18"/>
          <w:szCs w:val="18"/>
        </w:rPr>
        <w:t>33.76.30.00-6 Ręczniki papierowe do rąk</w:t>
      </w:r>
    </w:p>
    <w:p w:rsidR="008E7EF3" w:rsidRDefault="008E7EF3" w:rsidP="008E7EF3">
      <w:pPr>
        <w:spacing w:line="276" w:lineRule="auto"/>
        <w:ind w:left="1276"/>
        <w:jc w:val="both"/>
        <w:rPr>
          <w:rFonts w:ascii="Tahoma" w:hAnsi="Tahoma" w:cs="Tahoma"/>
          <w:b/>
          <w:sz w:val="18"/>
          <w:szCs w:val="18"/>
        </w:rPr>
      </w:pPr>
      <w:r>
        <w:rPr>
          <w:rFonts w:ascii="Tahoma" w:hAnsi="Tahoma" w:cs="Tahoma"/>
          <w:b/>
          <w:sz w:val="18"/>
          <w:szCs w:val="18"/>
        </w:rPr>
        <w:t>39.51.43.00-1 Ręczniki kuchenne</w:t>
      </w:r>
    </w:p>
    <w:p w:rsidR="008E7EF3" w:rsidRDefault="008E7EF3" w:rsidP="008E7EF3">
      <w:pPr>
        <w:spacing w:line="276" w:lineRule="auto"/>
        <w:ind w:left="1276"/>
        <w:jc w:val="both"/>
        <w:rPr>
          <w:rFonts w:ascii="Tahoma" w:hAnsi="Tahoma" w:cs="Tahoma"/>
          <w:b/>
          <w:sz w:val="18"/>
          <w:szCs w:val="18"/>
        </w:rPr>
      </w:pPr>
      <w:r>
        <w:rPr>
          <w:rFonts w:ascii="Tahoma" w:hAnsi="Tahoma" w:cs="Tahoma"/>
          <w:b/>
          <w:sz w:val="18"/>
          <w:szCs w:val="18"/>
        </w:rPr>
        <w:t>42.96.83.00-2 System do podawania papieru toaletowego</w:t>
      </w:r>
    </w:p>
    <w:p w:rsidR="008E7EF3" w:rsidRDefault="008E7EF3" w:rsidP="008E7EF3">
      <w:pPr>
        <w:spacing w:line="276" w:lineRule="auto"/>
        <w:ind w:left="1276"/>
        <w:jc w:val="both"/>
        <w:rPr>
          <w:rFonts w:ascii="Tahoma" w:hAnsi="Tahoma" w:cs="Tahoma"/>
          <w:b/>
          <w:sz w:val="18"/>
          <w:szCs w:val="18"/>
        </w:rPr>
      </w:pPr>
      <w:r>
        <w:rPr>
          <w:rFonts w:ascii="Tahoma" w:hAnsi="Tahoma" w:cs="Tahoma"/>
          <w:b/>
          <w:sz w:val="18"/>
          <w:szCs w:val="18"/>
        </w:rPr>
        <w:t>18.93.00.00-7 Worki i torby</w:t>
      </w:r>
    </w:p>
    <w:p w:rsidR="008E7EF3" w:rsidRDefault="008E7EF3" w:rsidP="008E7EF3">
      <w:pPr>
        <w:spacing w:line="276" w:lineRule="auto"/>
        <w:ind w:left="1276"/>
        <w:jc w:val="both"/>
        <w:rPr>
          <w:rFonts w:ascii="Tahoma" w:hAnsi="Tahoma" w:cs="Tahoma"/>
          <w:b/>
          <w:sz w:val="18"/>
          <w:szCs w:val="18"/>
        </w:rPr>
      </w:pPr>
      <w:r>
        <w:rPr>
          <w:rFonts w:ascii="Tahoma" w:hAnsi="Tahoma" w:cs="Tahoma"/>
          <w:b/>
          <w:sz w:val="18"/>
          <w:szCs w:val="18"/>
        </w:rPr>
        <w:t>33.71.19.00-6 Mydło</w:t>
      </w:r>
    </w:p>
    <w:p w:rsidR="008E7EF3" w:rsidRDefault="00504F24" w:rsidP="008E7EF3">
      <w:pPr>
        <w:spacing w:line="276" w:lineRule="auto"/>
        <w:ind w:left="1276"/>
        <w:jc w:val="both"/>
        <w:rPr>
          <w:rFonts w:ascii="Tahoma" w:hAnsi="Tahoma" w:cs="Tahoma"/>
          <w:b/>
          <w:sz w:val="18"/>
          <w:szCs w:val="18"/>
        </w:rPr>
      </w:pPr>
      <w:r>
        <w:rPr>
          <w:rFonts w:ascii="Tahoma" w:hAnsi="Tahoma" w:cs="Tahoma"/>
          <w:b/>
          <w:sz w:val="18"/>
          <w:szCs w:val="18"/>
        </w:rPr>
        <w:t>39.83.17.00-3 Automatyczne dozowniki do mydła</w:t>
      </w:r>
    </w:p>
    <w:p w:rsidR="00504F24" w:rsidRDefault="00504F24" w:rsidP="008E7EF3">
      <w:pPr>
        <w:spacing w:line="276" w:lineRule="auto"/>
        <w:ind w:left="1276"/>
        <w:jc w:val="both"/>
        <w:rPr>
          <w:rFonts w:ascii="Tahoma" w:hAnsi="Tahoma" w:cs="Tahoma"/>
          <w:b/>
          <w:sz w:val="18"/>
          <w:szCs w:val="18"/>
        </w:rPr>
      </w:pPr>
      <w:r>
        <w:rPr>
          <w:rFonts w:ascii="Tahoma" w:hAnsi="Tahoma" w:cs="Tahoma"/>
          <w:b/>
          <w:sz w:val="18"/>
          <w:szCs w:val="18"/>
        </w:rPr>
        <w:t>33.63.16.00-8 Środki antyseptyczne i dezynfekcyjne</w:t>
      </w:r>
    </w:p>
    <w:p w:rsidR="00504F24" w:rsidRDefault="00504F24" w:rsidP="008E7EF3">
      <w:pPr>
        <w:spacing w:line="276" w:lineRule="auto"/>
        <w:ind w:left="1276"/>
        <w:jc w:val="both"/>
        <w:rPr>
          <w:rFonts w:ascii="Tahoma" w:hAnsi="Tahoma" w:cs="Tahoma"/>
          <w:b/>
          <w:sz w:val="18"/>
          <w:szCs w:val="18"/>
        </w:rPr>
      </w:pPr>
      <w:r>
        <w:rPr>
          <w:rFonts w:ascii="Tahoma" w:hAnsi="Tahoma" w:cs="Tahoma"/>
          <w:b/>
          <w:sz w:val="18"/>
          <w:szCs w:val="18"/>
        </w:rPr>
        <w:t>39.81.11.00-1 Odświeżacze powietrza</w:t>
      </w:r>
    </w:p>
    <w:p w:rsidR="00504F24" w:rsidRDefault="00504F24" w:rsidP="008E7EF3">
      <w:pPr>
        <w:spacing w:line="276" w:lineRule="auto"/>
        <w:ind w:left="1276"/>
        <w:jc w:val="both"/>
        <w:rPr>
          <w:rFonts w:ascii="Tahoma" w:hAnsi="Tahoma" w:cs="Tahoma"/>
          <w:b/>
          <w:sz w:val="18"/>
          <w:szCs w:val="18"/>
        </w:rPr>
      </w:pPr>
      <w:r>
        <w:rPr>
          <w:rFonts w:ascii="Tahoma" w:hAnsi="Tahoma" w:cs="Tahoma"/>
          <w:b/>
          <w:sz w:val="18"/>
          <w:szCs w:val="18"/>
        </w:rPr>
        <w:t>39.83.12.40-0 Preparaty czyszczące</w:t>
      </w:r>
    </w:p>
    <w:p w:rsidR="00504F24" w:rsidRDefault="00504F24" w:rsidP="008E7EF3">
      <w:pPr>
        <w:spacing w:line="276" w:lineRule="auto"/>
        <w:ind w:left="1276"/>
        <w:jc w:val="both"/>
        <w:rPr>
          <w:rFonts w:ascii="Tahoma" w:hAnsi="Tahoma" w:cs="Tahoma"/>
          <w:b/>
          <w:sz w:val="18"/>
          <w:szCs w:val="18"/>
        </w:rPr>
      </w:pPr>
      <w:r>
        <w:rPr>
          <w:rFonts w:ascii="Tahoma" w:hAnsi="Tahoma" w:cs="Tahoma"/>
          <w:b/>
          <w:sz w:val="18"/>
          <w:szCs w:val="18"/>
        </w:rPr>
        <w:t>39.22.43.20-7 Gąbki</w:t>
      </w:r>
    </w:p>
    <w:p w:rsidR="00504F24" w:rsidRDefault="00504F24" w:rsidP="008E7EF3">
      <w:pPr>
        <w:spacing w:line="276" w:lineRule="auto"/>
        <w:ind w:left="1276"/>
        <w:jc w:val="both"/>
        <w:rPr>
          <w:rFonts w:ascii="Tahoma" w:hAnsi="Tahoma" w:cs="Tahoma"/>
          <w:b/>
          <w:sz w:val="18"/>
          <w:szCs w:val="18"/>
        </w:rPr>
      </w:pPr>
      <w:r>
        <w:rPr>
          <w:rFonts w:ascii="Tahoma" w:hAnsi="Tahoma" w:cs="Tahoma"/>
          <w:b/>
          <w:sz w:val="18"/>
          <w:szCs w:val="18"/>
        </w:rPr>
        <w:t>18.14.10.00-9 Rękawice robocze</w:t>
      </w:r>
    </w:p>
    <w:p w:rsidR="00504F24" w:rsidRDefault="00504F24" w:rsidP="00504F24">
      <w:pPr>
        <w:spacing w:line="276" w:lineRule="auto"/>
        <w:ind w:left="1276"/>
        <w:jc w:val="both"/>
        <w:rPr>
          <w:rFonts w:ascii="Tahoma" w:hAnsi="Tahoma" w:cs="Tahoma"/>
          <w:b/>
          <w:sz w:val="18"/>
          <w:szCs w:val="18"/>
        </w:rPr>
      </w:pPr>
      <w:r>
        <w:rPr>
          <w:rFonts w:ascii="Tahoma" w:hAnsi="Tahoma" w:cs="Tahoma"/>
          <w:b/>
          <w:sz w:val="18"/>
          <w:szCs w:val="18"/>
        </w:rPr>
        <w:t>39.22.40.00-8 Miotły i szczotki i inne artykułu różnego rodzaju</w:t>
      </w:r>
    </w:p>
    <w:p w:rsidR="00504F24" w:rsidRDefault="00504F24" w:rsidP="00504F24">
      <w:pPr>
        <w:spacing w:line="276" w:lineRule="auto"/>
        <w:ind w:left="1276"/>
        <w:jc w:val="both"/>
        <w:rPr>
          <w:rFonts w:ascii="Tahoma" w:hAnsi="Tahoma" w:cs="Tahoma"/>
          <w:b/>
          <w:sz w:val="18"/>
          <w:szCs w:val="18"/>
        </w:rPr>
      </w:pPr>
      <w:r>
        <w:rPr>
          <w:rFonts w:ascii="Tahoma" w:hAnsi="Tahoma" w:cs="Tahoma"/>
          <w:b/>
          <w:sz w:val="18"/>
          <w:szCs w:val="18"/>
        </w:rPr>
        <w:t>39.51.42.00-0 Ścierki</w:t>
      </w:r>
    </w:p>
    <w:p w:rsidR="00504F24" w:rsidRDefault="00504F24" w:rsidP="00504F24">
      <w:pPr>
        <w:spacing w:line="276" w:lineRule="auto"/>
        <w:ind w:left="1276"/>
        <w:jc w:val="both"/>
        <w:rPr>
          <w:rFonts w:ascii="Tahoma" w:hAnsi="Tahoma" w:cs="Tahoma"/>
          <w:b/>
          <w:sz w:val="18"/>
          <w:szCs w:val="18"/>
        </w:rPr>
      </w:pPr>
      <w:r>
        <w:rPr>
          <w:rFonts w:ascii="Tahoma" w:hAnsi="Tahoma" w:cs="Tahoma"/>
          <w:b/>
          <w:sz w:val="18"/>
          <w:szCs w:val="18"/>
        </w:rPr>
        <w:t>39.83.12.00-8 Detergenty</w:t>
      </w:r>
    </w:p>
    <w:p w:rsidR="00504F24" w:rsidRDefault="00504F24" w:rsidP="00504F24">
      <w:pPr>
        <w:spacing w:line="276" w:lineRule="auto"/>
        <w:ind w:left="1276"/>
        <w:jc w:val="both"/>
        <w:rPr>
          <w:rFonts w:ascii="Tahoma" w:hAnsi="Tahoma" w:cs="Tahoma"/>
          <w:b/>
          <w:sz w:val="18"/>
          <w:szCs w:val="18"/>
        </w:rPr>
      </w:pPr>
      <w:r>
        <w:rPr>
          <w:rFonts w:ascii="Tahoma" w:hAnsi="Tahoma" w:cs="Tahoma"/>
          <w:b/>
          <w:sz w:val="18"/>
          <w:szCs w:val="18"/>
        </w:rPr>
        <w:t>39.83.20.00-3 Produkty do zmywania naczyń</w:t>
      </w:r>
    </w:p>
    <w:p w:rsidR="00504F24" w:rsidRDefault="00504F24" w:rsidP="00504F24">
      <w:pPr>
        <w:spacing w:line="276" w:lineRule="auto"/>
        <w:ind w:left="1276"/>
        <w:jc w:val="both"/>
        <w:rPr>
          <w:rFonts w:ascii="Tahoma" w:hAnsi="Tahoma" w:cs="Tahoma"/>
          <w:b/>
          <w:sz w:val="18"/>
          <w:szCs w:val="18"/>
        </w:rPr>
      </w:pPr>
      <w:r>
        <w:rPr>
          <w:rFonts w:ascii="Tahoma" w:hAnsi="Tahoma" w:cs="Tahoma"/>
          <w:b/>
          <w:sz w:val="18"/>
          <w:szCs w:val="18"/>
        </w:rPr>
        <w:t>39.70.00.00-9 Sprzęt gospodarstwa domowego</w:t>
      </w:r>
    </w:p>
    <w:p w:rsidR="00504F24" w:rsidRDefault="00640BDD" w:rsidP="00504F24">
      <w:pPr>
        <w:spacing w:line="276" w:lineRule="auto"/>
        <w:ind w:left="1276"/>
        <w:jc w:val="both"/>
        <w:rPr>
          <w:rFonts w:ascii="Tahoma" w:hAnsi="Tahoma" w:cs="Tahoma"/>
          <w:b/>
          <w:sz w:val="18"/>
          <w:szCs w:val="18"/>
        </w:rPr>
      </w:pPr>
      <w:r>
        <w:rPr>
          <w:rFonts w:ascii="Tahoma" w:hAnsi="Tahoma" w:cs="Tahoma"/>
          <w:b/>
          <w:sz w:val="18"/>
          <w:szCs w:val="18"/>
        </w:rPr>
        <w:t>34.91.21.00-4 Wózki popychane</w:t>
      </w:r>
    </w:p>
    <w:p w:rsidR="00640BDD" w:rsidRDefault="00640BDD" w:rsidP="00504F24">
      <w:pPr>
        <w:spacing w:line="276" w:lineRule="auto"/>
        <w:ind w:left="1276"/>
        <w:jc w:val="both"/>
        <w:rPr>
          <w:rFonts w:ascii="Tahoma" w:hAnsi="Tahoma" w:cs="Tahoma"/>
          <w:b/>
          <w:sz w:val="18"/>
          <w:szCs w:val="18"/>
        </w:rPr>
      </w:pPr>
      <w:r>
        <w:rPr>
          <w:rFonts w:ascii="Tahoma" w:hAnsi="Tahoma" w:cs="Tahoma"/>
          <w:b/>
          <w:sz w:val="18"/>
          <w:szCs w:val="18"/>
        </w:rPr>
        <w:t>39.71.34.10-0 Maszyny do czyszczenia podłóg</w:t>
      </w:r>
    </w:p>
    <w:p w:rsidR="00640BDD" w:rsidRDefault="00640BDD" w:rsidP="00504F24">
      <w:pPr>
        <w:spacing w:line="276" w:lineRule="auto"/>
        <w:ind w:left="1276"/>
        <w:jc w:val="both"/>
        <w:rPr>
          <w:rFonts w:ascii="Tahoma" w:hAnsi="Tahoma" w:cs="Tahoma"/>
          <w:b/>
          <w:sz w:val="18"/>
          <w:szCs w:val="18"/>
        </w:rPr>
      </w:pPr>
      <w:r>
        <w:rPr>
          <w:rFonts w:ascii="Tahoma" w:hAnsi="Tahoma" w:cs="Tahoma"/>
          <w:b/>
          <w:sz w:val="18"/>
          <w:szCs w:val="18"/>
        </w:rPr>
        <w:t>39.83.13.00-9 Środki do czyszczenia podłóg</w:t>
      </w:r>
    </w:p>
    <w:p w:rsidR="00640BDD" w:rsidRDefault="00640BDD" w:rsidP="00504F24">
      <w:pPr>
        <w:spacing w:line="276" w:lineRule="auto"/>
        <w:ind w:left="1276"/>
        <w:jc w:val="both"/>
        <w:rPr>
          <w:rFonts w:ascii="Tahoma" w:hAnsi="Tahoma" w:cs="Tahoma"/>
          <w:b/>
          <w:sz w:val="18"/>
          <w:szCs w:val="18"/>
        </w:rPr>
      </w:pPr>
      <w:r>
        <w:rPr>
          <w:rFonts w:ascii="Tahoma" w:hAnsi="Tahoma" w:cs="Tahoma"/>
          <w:b/>
          <w:sz w:val="18"/>
          <w:szCs w:val="18"/>
        </w:rPr>
        <w:t>33.63.16.00-8 Środki antyseptyczne i dezynfekcyjne</w:t>
      </w:r>
    </w:p>
    <w:p w:rsidR="00640BDD" w:rsidRDefault="00640BDD" w:rsidP="00504F24">
      <w:pPr>
        <w:spacing w:line="276" w:lineRule="auto"/>
        <w:ind w:left="1276"/>
        <w:jc w:val="both"/>
        <w:rPr>
          <w:rFonts w:ascii="Tahoma" w:hAnsi="Tahoma" w:cs="Tahoma"/>
          <w:b/>
          <w:sz w:val="18"/>
          <w:szCs w:val="18"/>
        </w:rPr>
      </w:pPr>
      <w:r>
        <w:rPr>
          <w:rFonts w:ascii="Tahoma" w:hAnsi="Tahoma" w:cs="Tahoma"/>
          <w:b/>
          <w:sz w:val="18"/>
          <w:szCs w:val="18"/>
        </w:rPr>
        <w:t>33.71.15.00-2 Produkty do pielęgnacji skóry</w:t>
      </w:r>
    </w:p>
    <w:p w:rsidR="00640BDD" w:rsidRPr="008E7EF3" w:rsidRDefault="00640BDD" w:rsidP="00504F24">
      <w:pPr>
        <w:spacing w:line="276" w:lineRule="auto"/>
        <w:ind w:left="1276"/>
        <w:jc w:val="both"/>
        <w:rPr>
          <w:rFonts w:ascii="Tahoma" w:hAnsi="Tahoma" w:cs="Tahoma"/>
          <w:b/>
          <w:sz w:val="18"/>
          <w:szCs w:val="18"/>
        </w:rPr>
      </w:pPr>
      <w:r>
        <w:rPr>
          <w:rFonts w:ascii="Tahoma" w:hAnsi="Tahoma" w:cs="Tahoma"/>
          <w:b/>
          <w:sz w:val="18"/>
          <w:szCs w:val="18"/>
        </w:rPr>
        <w:t>39.83.10.00-6 Preparaty piorące</w:t>
      </w:r>
    </w:p>
    <w:p w:rsidR="008E7EF3" w:rsidRDefault="008E7EF3" w:rsidP="00132A5B">
      <w:pPr>
        <w:tabs>
          <w:tab w:val="num" w:pos="284"/>
        </w:tabs>
        <w:spacing w:line="276" w:lineRule="auto"/>
        <w:ind w:left="284" w:hanging="426"/>
        <w:jc w:val="both"/>
        <w:rPr>
          <w:rFonts w:ascii="Tahoma" w:hAnsi="Tahoma" w:cs="Tahoma"/>
          <w:sz w:val="18"/>
          <w:szCs w:val="18"/>
        </w:rPr>
      </w:pPr>
      <w:r>
        <w:rPr>
          <w:rFonts w:ascii="Tahoma" w:hAnsi="Tahoma" w:cs="Tahoma"/>
          <w:sz w:val="18"/>
          <w:szCs w:val="18"/>
        </w:rPr>
        <w:t xml:space="preserve"> </w:t>
      </w: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640BDD">
        <w:rPr>
          <w:rFonts w:ascii="Tahoma" w:hAnsi="Tahoma" w:cs="Tahoma"/>
          <w:b/>
          <w:color w:val="0070C0"/>
          <w:sz w:val="18"/>
          <w:szCs w:val="18"/>
        </w:rPr>
        <w:t>24</w:t>
      </w:r>
      <w:r w:rsidR="00EF1AAC" w:rsidRPr="00EF1AAC">
        <w:rPr>
          <w:rFonts w:ascii="Tahoma" w:hAnsi="Tahoma" w:cs="Tahoma"/>
          <w:b/>
          <w:color w:val="0070C0"/>
          <w:sz w:val="18"/>
          <w:szCs w:val="18"/>
        </w:rPr>
        <w:t xml:space="preserve"> miesięcy od daty zawarcia umowy</w:t>
      </w:r>
      <w:r w:rsidR="00EF1AA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 xml:space="preserve">4.2. </w:t>
      </w:r>
      <w:r w:rsidR="00EA36DB">
        <w:rPr>
          <w:rFonts w:ascii="Tahoma" w:hAnsi="Tahoma" w:cs="Tahoma"/>
          <w:sz w:val="18"/>
          <w:szCs w:val="18"/>
        </w:rPr>
        <w:t>Dostawa przedmiotu zamówienia bezpośrednio do siedziby Zamawiającego</w:t>
      </w:r>
      <w:r w:rsidR="00E854B8">
        <w:rPr>
          <w:rFonts w:ascii="Tahoma" w:hAnsi="Tahoma" w:cs="Tahoma"/>
          <w:sz w:val="18"/>
          <w:szCs w:val="18"/>
        </w:rPr>
        <w:t>:</w:t>
      </w:r>
    </w:p>
    <w:p w:rsidR="006473FD" w:rsidRDefault="00E854B8" w:rsidP="00E854B8">
      <w:pPr>
        <w:spacing w:line="276" w:lineRule="auto"/>
        <w:ind w:left="709" w:hanging="284"/>
        <w:jc w:val="both"/>
        <w:rPr>
          <w:rFonts w:ascii="Tahoma" w:hAnsi="Tahoma" w:cs="Tahoma"/>
          <w:b/>
          <w:sz w:val="18"/>
          <w:szCs w:val="18"/>
        </w:rPr>
      </w:pPr>
      <w:r>
        <w:rPr>
          <w:rFonts w:ascii="Tahoma" w:hAnsi="Tahoma" w:cs="Tahoma"/>
          <w:sz w:val="18"/>
          <w:szCs w:val="18"/>
        </w:rPr>
        <w:t xml:space="preserve">a) w zakresie pakietów od 1 do 15 - </w:t>
      </w:r>
      <w:r w:rsidR="00EA36DB">
        <w:rPr>
          <w:rFonts w:ascii="Tahoma" w:hAnsi="Tahoma" w:cs="Tahoma"/>
          <w:sz w:val="18"/>
          <w:szCs w:val="18"/>
        </w:rPr>
        <w:t xml:space="preserve"> do </w:t>
      </w:r>
      <w:r w:rsidR="00D01A1C">
        <w:rPr>
          <w:rFonts w:ascii="Tahoma" w:hAnsi="Tahoma" w:cs="Tahoma"/>
          <w:sz w:val="18"/>
          <w:szCs w:val="18"/>
        </w:rPr>
        <w:t>M</w:t>
      </w:r>
      <w:r w:rsidR="00EA36DB">
        <w:rPr>
          <w:rFonts w:ascii="Tahoma" w:hAnsi="Tahoma" w:cs="Tahoma"/>
          <w:sz w:val="18"/>
          <w:szCs w:val="18"/>
        </w:rPr>
        <w:t xml:space="preserve">agazynu </w:t>
      </w:r>
      <w:r w:rsidR="00D01A1C">
        <w:rPr>
          <w:rFonts w:ascii="Tahoma" w:hAnsi="Tahoma" w:cs="Tahoma"/>
          <w:sz w:val="18"/>
          <w:szCs w:val="18"/>
        </w:rPr>
        <w:t>G</w:t>
      </w:r>
      <w:r w:rsidR="00EA36DB">
        <w:rPr>
          <w:rFonts w:ascii="Tahoma" w:hAnsi="Tahoma" w:cs="Tahoma"/>
          <w:sz w:val="18"/>
          <w:szCs w:val="18"/>
        </w:rPr>
        <w:t xml:space="preserve">łównego (poziom -1) </w:t>
      </w:r>
      <w:r w:rsidR="00EA36DB">
        <w:rPr>
          <w:rFonts w:ascii="Tahoma" w:hAnsi="Tahoma" w:cs="Tahoma"/>
          <w:b/>
          <w:sz w:val="18"/>
          <w:szCs w:val="18"/>
        </w:rPr>
        <w:t>WS-SPZOZ w Zgorzelcu</w:t>
      </w:r>
      <w:r>
        <w:rPr>
          <w:rFonts w:ascii="Tahoma" w:hAnsi="Tahoma" w:cs="Tahoma"/>
          <w:b/>
          <w:sz w:val="18"/>
          <w:szCs w:val="18"/>
        </w:rPr>
        <w:t xml:space="preserve">                     </w:t>
      </w:r>
      <w:r w:rsidR="00EA36DB">
        <w:rPr>
          <w:rFonts w:ascii="Tahoma" w:hAnsi="Tahoma" w:cs="Tahoma"/>
          <w:b/>
          <w:sz w:val="18"/>
          <w:szCs w:val="18"/>
        </w:rPr>
        <w:t xml:space="preserve">  59-900 Zgorzelec, ul. Lubańska 11-12.</w:t>
      </w:r>
    </w:p>
    <w:p w:rsidR="00E854B8" w:rsidRDefault="00E854B8" w:rsidP="00E854B8">
      <w:pPr>
        <w:spacing w:line="276" w:lineRule="auto"/>
        <w:ind w:left="709" w:hanging="284"/>
        <w:jc w:val="both"/>
        <w:rPr>
          <w:rFonts w:ascii="Tahoma" w:hAnsi="Tahoma" w:cs="Tahoma"/>
          <w:sz w:val="18"/>
          <w:szCs w:val="18"/>
        </w:rPr>
      </w:pPr>
      <w:r>
        <w:rPr>
          <w:rFonts w:ascii="Tahoma" w:hAnsi="Tahoma" w:cs="Tahoma"/>
          <w:sz w:val="18"/>
          <w:szCs w:val="18"/>
        </w:rPr>
        <w:t xml:space="preserve">b) w zakresie pakietu 16 – do </w:t>
      </w:r>
      <w:bookmarkStart w:id="0" w:name="_Hlk13741575"/>
      <w:r w:rsidR="00D01A1C">
        <w:rPr>
          <w:rFonts w:ascii="Tahoma" w:hAnsi="Tahoma" w:cs="Tahoma"/>
          <w:sz w:val="18"/>
          <w:szCs w:val="18"/>
        </w:rPr>
        <w:t>M</w:t>
      </w:r>
      <w:r>
        <w:rPr>
          <w:rFonts w:ascii="Tahoma" w:hAnsi="Tahoma" w:cs="Tahoma"/>
          <w:sz w:val="18"/>
          <w:szCs w:val="18"/>
        </w:rPr>
        <w:t xml:space="preserve">agazynu </w:t>
      </w:r>
      <w:r w:rsidR="00D01A1C">
        <w:rPr>
          <w:rFonts w:ascii="Tahoma" w:hAnsi="Tahoma" w:cs="Tahoma"/>
          <w:sz w:val="18"/>
          <w:szCs w:val="18"/>
        </w:rPr>
        <w:t>P</w:t>
      </w:r>
      <w:r>
        <w:rPr>
          <w:rFonts w:ascii="Tahoma" w:hAnsi="Tahoma" w:cs="Tahoma"/>
          <w:sz w:val="18"/>
          <w:szCs w:val="18"/>
        </w:rPr>
        <w:t>ralni</w:t>
      </w:r>
      <w:r w:rsidR="00A74380">
        <w:rPr>
          <w:rFonts w:ascii="Tahoma" w:hAnsi="Tahoma" w:cs="Tahoma"/>
          <w:sz w:val="18"/>
          <w:szCs w:val="18"/>
        </w:rPr>
        <w:t xml:space="preserve"> (poziom  0)</w:t>
      </w:r>
      <w:r>
        <w:rPr>
          <w:rFonts w:ascii="Tahoma" w:hAnsi="Tahoma" w:cs="Tahoma"/>
          <w:sz w:val="18"/>
          <w:szCs w:val="18"/>
        </w:rPr>
        <w:t xml:space="preserve"> </w:t>
      </w:r>
      <w:r>
        <w:rPr>
          <w:rFonts w:ascii="Tahoma" w:hAnsi="Tahoma" w:cs="Tahoma"/>
          <w:b/>
          <w:sz w:val="18"/>
          <w:szCs w:val="18"/>
        </w:rPr>
        <w:t>WS-SPZOZ w Zgorzelcu  59-900 Zgorzelec, ul. Lubańska 11-12</w:t>
      </w:r>
      <w:bookmarkEnd w:id="0"/>
      <w:r>
        <w:rPr>
          <w:rFonts w:ascii="Tahoma" w:hAnsi="Tahoma" w:cs="Tahoma"/>
          <w:b/>
          <w:sz w:val="18"/>
          <w:szCs w:val="18"/>
        </w:rPr>
        <w:t>.</w:t>
      </w:r>
    </w:p>
    <w:p w:rsidR="006473FD" w:rsidRDefault="006473FD" w:rsidP="006473FD">
      <w:pPr>
        <w:spacing w:line="276" w:lineRule="auto"/>
        <w:ind w:left="720"/>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EA36DB">
        <w:rPr>
          <w:rFonts w:ascii="Tahoma" w:hAnsi="Tahoma" w:cs="Tahoma"/>
          <w:sz w:val="18"/>
          <w:szCs w:val="18"/>
        </w:rPr>
        <w:t>Dostawy odbywać się będą na koszt i ryzyko Wykonawcy. Dostawy odbywać się będą wyłącznie w dni robocze od godziny 8:00 do 14:00. T</w:t>
      </w:r>
      <w:r w:rsidR="00EF1AAC">
        <w:rPr>
          <w:rFonts w:ascii="Tahoma" w:hAnsi="Tahoma" w:cs="Tahoma"/>
          <w:sz w:val="18"/>
          <w:szCs w:val="18"/>
        </w:rPr>
        <w:t>owary pozostawione poza wskazanym przez Zamawiającego magazynem uważa się za dostarczone niezgodnie z umową</w:t>
      </w:r>
      <w:r>
        <w:rPr>
          <w:rFonts w:ascii="Tahoma" w:hAnsi="Tahoma" w:cs="Tahoma"/>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F1AAC"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EF1AAC">
        <w:rPr>
          <w:rFonts w:ascii="Tahoma" w:hAnsi="Tahoma" w:cs="Tahoma"/>
          <w:sz w:val="18"/>
          <w:szCs w:val="18"/>
        </w:rPr>
        <w:t xml:space="preserve">Dostawy artykułów </w:t>
      </w:r>
      <w:r w:rsidR="00EA36DB">
        <w:rPr>
          <w:rFonts w:ascii="Tahoma" w:hAnsi="Tahoma" w:cs="Tahoma"/>
          <w:sz w:val="18"/>
          <w:szCs w:val="18"/>
        </w:rPr>
        <w:t>towarów</w:t>
      </w:r>
      <w:r w:rsidR="00EF1AAC">
        <w:rPr>
          <w:rFonts w:ascii="Tahoma" w:hAnsi="Tahoma" w:cs="Tahoma"/>
          <w:sz w:val="18"/>
          <w:szCs w:val="18"/>
        </w:rPr>
        <w:t xml:space="preserve"> będą następować sukcesywnie, w okresie trwania umowy.</w:t>
      </w:r>
    </w:p>
    <w:p w:rsidR="00EF1AAC" w:rsidRDefault="00EF1AAC" w:rsidP="006473FD">
      <w:pPr>
        <w:tabs>
          <w:tab w:val="num" w:pos="284"/>
        </w:tabs>
        <w:spacing w:line="276" w:lineRule="auto"/>
        <w:ind w:left="284" w:hanging="284"/>
        <w:jc w:val="both"/>
        <w:rPr>
          <w:rFonts w:ascii="Tahoma" w:hAnsi="Tahoma" w:cs="Tahoma"/>
          <w:sz w:val="18"/>
          <w:szCs w:val="18"/>
        </w:rPr>
      </w:pPr>
    </w:p>
    <w:p w:rsidR="00776AB1"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4.5.</w:t>
      </w:r>
      <w:r w:rsidR="00776AB1">
        <w:rPr>
          <w:rFonts w:ascii="Tahoma" w:hAnsi="Tahoma" w:cs="Tahoma"/>
          <w:sz w:val="18"/>
          <w:szCs w:val="18"/>
        </w:rPr>
        <w:t xml:space="preserve"> </w:t>
      </w:r>
      <w:r w:rsidR="00776AB1">
        <w:rPr>
          <w:rFonts w:ascii="Tahoma" w:hAnsi="Tahoma"/>
          <w:sz w:val="18"/>
        </w:rPr>
        <w:t xml:space="preserve">Termin realizacji poszczególnych dostaw </w:t>
      </w:r>
      <w:r w:rsidR="002F70B0">
        <w:rPr>
          <w:rFonts w:ascii="Tahoma" w:hAnsi="Tahoma"/>
          <w:sz w:val="18"/>
        </w:rPr>
        <w:t xml:space="preserve">nie może przekroczyć </w:t>
      </w:r>
      <w:r w:rsidR="00776AB1">
        <w:rPr>
          <w:rFonts w:ascii="Tahoma" w:hAnsi="Tahoma"/>
          <w:b/>
          <w:sz w:val="18"/>
        </w:rPr>
        <w:t>5 dni roboczych</w:t>
      </w:r>
      <w:r w:rsidR="00776AB1">
        <w:rPr>
          <w:rFonts w:ascii="Tahoma" w:hAnsi="Tahoma"/>
          <w:sz w:val="18"/>
        </w:rPr>
        <w:t xml:space="preserve"> licząc od dnia złożenia zamówienia faxem lub elektronicznie. </w:t>
      </w:r>
    </w:p>
    <w:p w:rsidR="00776AB1" w:rsidRDefault="00776AB1" w:rsidP="006473FD">
      <w:pPr>
        <w:tabs>
          <w:tab w:val="num" w:pos="284"/>
        </w:tabs>
        <w:spacing w:line="276" w:lineRule="auto"/>
        <w:ind w:left="284" w:hanging="284"/>
        <w:jc w:val="both"/>
        <w:rPr>
          <w:rFonts w:ascii="Tahoma" w:hAnsi="Tahoma" w:cs="Tahoma"/>
          <w:sz w:val="18"/>
          <w:szCs w:val="18"/>
        </w:rPr>
      </w:pPr>
    </w:p>
    <w:p w:rsidR="00EF1AAC"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lastRenderedPageBreak/>
        <w:t xml:space="preserve">4.6. W przypadku braku asortymentu umieszczonego w załączniku nr </w:t>
      </w:r>
      <w:r w:rsidR="00776AB1">
        <w:rPr>
          <w:rFonts w:ascii="Tahoma" w:hAnsi="Tahoma" w:cs="Tahoma"/>
          <w:sz w:val="18"/>
          <w:szCs w:val="18"/>
        </w:rPr>
        <w:t>2</w:t>
      </w:r>
      <w:r>
        <w:rPr>
          <w:rFonts w:ascii="Tahoma" w:hAnsi="Tahoma" w:cs="Tahoma"/>
          <w:sz w:val="18"/>
          <w:szCs w:val="18"/>
        </w:rPr>
        <w:t xml:space="preserve"> „Formularz cenowy”, Wykonawca zobowiązuje się do zapewnienia odpowiednika w cenach przetargowych, po uprzednim uzgodnieniu dostawy odpowiednika z Zamawiającym.  </w:t>
      </w:r>
    </w:p>
    <w:p w:rsidR="00036BC8" w:rsidRDefault="00036BC8"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4.7. </w:t>
      </w:r>
      <w:r w:rsidR="002F70B0">
        <w:rPr>
          <w:rFonts w:ascii="Tahoma" w:hAnsi="Tahoma"/>
          <w:sz w:val="18"/>
        </w:rPr>
        <w:t xml:space="preserve">Wykonawca będzie informował Zamawiającego o zmianach w realizacji zamówienia (zmiany zamówionych ilości i ustalonych terminów) z podaniem przyczyny e-mailem na adres </w:t>
      </w:r>
      <w:hyperlink r:id="rId12" w:history="1">
        <w:r w:rsidR="002F70B0">
          <w:rPr>
            <w:rStyle w:val="Hipercze"/>
            <w:rFonts w:ascii="Tahoma" w:hAnsi="Tahoma"/>
            <w:sz w:val="18"/>
          </w:rPr>
          <w:t>zaopatrzenie@spzoz.zgorzelec.pl</w:t>
        </w:r>
      </w:hyperlink>
      <w:r w:rsidR="002F70B0">
        <w:rPr>
          <w:rFonts w:ascii="Tahoma" w:hAnsi="Tahoma"/>
          <w:sz w:val="18"/>
        </w:rPr>
        <w:t xml:space="preserve"> nie później niż </w:t>
      </w:r>
      <w:r w:rsidR="002F70B0">
        <w:rPr>
          <w:rFonts w:ascii="Tahoma" w:hAnsi="Tahoma"/>
          <w:b/>
          <w:sz w:val="18"/>
          <w:u w:val="single"/>
        </w:rPr>
        <w:t>24 godz</w:t>
      </w:r>
      <w:r w:rsidR="002F70B0">
        <w:rPr>
          <w:rFonts w:ascii="Tahoma" w:hAnsi="Tahoma"/>
          <w:sz w:val="18"/>
        </w:rPr>
        <w:t>. od daty złożenia zamówienia</w:t>
      </w:r>
      <w:r w:rsidR="002F70B0">
        <w:rPr>
          <w:rFonts w:ascii="Tahoma" w:hAnsi="Tahoma"/>
          <w:sz w:val="18"/>
          <w:szCs w:val="18"/>
        </w:rPr>
        <w:t xml:space="preserve"> (do godz. 15:00)</w:t>
      </w:r>
      <w:r>
        <w:rPr>
          <w:rFonts w:ascii="Tahoma" w:hAnsi="Tahoma" w:cs="Tahoma"/>
          <w:sz w:val="18"/>
          <w:szCs w:val="18"/>
        </w:rPr>
        <w:t>.</w:t>
      </w:r>
    </w:p>
    <w:p w:rsidR="00036BC8" w:rsidRDefault="00036BC8"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rPr>
        <w:t xml:space="preserve">4.10 </w:t>
      </w:r>
      <w:r>
        <w:rPr>
          <w:rFonts w:ascii="Tahoma" w:hAnsi="Tahoma" w:cs="Tahoma"/>
          <w:sz w:val="18"/>
          <w:szCs w:val="18"/>
        </w:rPr>
        <w:t xml:space="preserve">Zamawiający zobowiązuje się do zapłaty należności w terminie </w:t>
      </w:r>
      <w:r w:rsidR="008A4852">
        <w:rPr>
          <w:rFonts w:ascii="Tahoma" w:hAnsi="Tahoma" w:cs="Tahoma"/>
          <w:sz w:val="18"/>
          <w:szCs w:val="18"/>
        </w:rPr>
        <w:t>______</w:t>
      </w:r>
      <w:r>
        <w:rPr>
          <w:rFonts w:ascii="Tahoma" w:hAnsi="Tahoma" w:cs="Tahoma"/>
          <w:sz w:val="18"/>
          <w:szCs w:val="18"/>
        </w:rPr>
        <w:t xml:space="preserve"> dni</w:t>
      </w:r>
      <w:r w:rsidR="008A4852">
        <w:rPr>
          <w:rFonts w:ascii="Tahoma" w:hAnsi="Tahoma" w:cs="Tahoma"/>
          <w:sz w:val="18"/>
          <w:szCs w:val="18"/>
        </w:rPr>
        <w:t xml:space="preserve"> (KRYTERIUM PUNKTOWE)</w:t>
      </w:r>
      <w:r w:rsidR="0020590A">
        <w:rPr>
          <w:rFonts w:ascii="Tahoma" w:hAnsi="Tahoma" w:cs="Tahoma"/>
          <w:sz w:val="18"/>
          <w:szCs w:val="18"/>
        </w:rPr>
        <w:t xml:space="preserve"> </w:t>
      </w:r>
      <w:r>
        <w:rPr>
          <w:rFonts w:ascii="Tahoma" w:hAnsi="Tahoma" w:cs="Tahoma"/>
          <w:sz w:val="18"/>
          <w:szCs w:val="18"/>
        </w:rPr>
        <w:t xml:space="preserve">licząc od daty </w:t>
      </w:r>
      <w:r w:rsidR="0020590A">
        <w:rPr>
          <w:rFonts w:ascii="Tahoma" w:hAnsi="Tahoma" w:cs="Tahoma"/>
          <w:sz w:val="18"/>
          <w:szCs w:val="18"/>
        </w:rPr>
        <w:t xml:space="preserve">prawidłowo </w:t>
      </w:r>
      <w:r>
        <w:rPr>
          <w:rFonts w:ascii="Tahoma" w:hAnsi="Tahoma" w:cs="Tahoma"/>
          <w:sz w:val="18"/>
          <w:szCs w:val="18"/>
        </w:rPr>
        <w:t>wystawi</w:t>
      </w:r>
      <w:r w:rsidR="0020590A">
        <w:rPr>
          <w:rFonts w:ascii="Tahoma" w:hAnsi="Tahoma" w:cs="Tahoma"/>
          <w:sz w:val="18"/>
          <w:szCs w:val="18"/>
        </w:rPr>
        <w:t>onej</w:t>
      </w:r>
      <w:r>
        <w:rPr>
          <w:rFonts w:ascii="Tahoma" w:hAnsi="Tahoma" w:cs="Tahoma"/>
          <w:sz w:val="18"/>
          <w:szCs w:val="18"/>
        </w:rPr>
        <w:t xml:space="preserve"> faktury VAT</w:t>
      </w:r>
      <w:r w:rsidR="0020590A">
        <w:rPr>
          <w:rFonts w:ascii="Tahoma" w:hAnsi="Tahoma" w:cs="Tahoma"/>
          <w:sz w:val="18"/>
          <w:szCs w:val="18"/>
        </w:rPr>
        <w:t xml:space="preserve"> i uprzednio otrzymanej dostawy</w:t>
      </w:r>
      <w:r>
        <w:rPr>
          <w:rFonts w:ascii="Tahoma" w:hAnsi="Tahoma" w:cs="Tahoma"/>
          <w:sz w:val="18"/>
          <w:szCs w:val="18"/>
        </w:rPr>
        <w:t>, przelewem na konto Wykonawcy wskazane w fakturze.</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036BC8">
        <w:rPr>
          <w:rFonts w:ascii="Tahoma" w:hAnsi="Tahoma" w:cs="Tahoma"/>
          <w:sz w:val="18"/>
          <w:szCs w:val="18"/>
        </w:rPr>
        <w:t>11</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6473FD" w:rsidRPr="002D6DCB" w:rsidRDefault="00BB73A2" w:rsidP="006473FD">
      <w:pPr>
        <w:ind w:left="284"/>
        <w:jc w:val="both"/>
        <w:rPr>
          <w:rFonts w:ascii="Tahoma" w:hAnsi="Tahoma"/>
          <w:color w:val="0070C0"/>
          <w:sz w:val="18"/>
          <w:szCs w:val="18"/>
        </w:rPr>
      </w:pPr>
      <w:r>
        <w:rPr>
          <w:rFonts w:ascii="Tahoma" w:hAnsi="Tahoma" w:cs="Tahoma"/>
          <w:sz w:val="18"/>
          <w:szCs w:val="18"/>
        </w:rPr>
        <w:t xml:space="preserve">5.1.2. spełniają warunki udziału w postępowaniu </w:t>
      </w:r>
      <w:r w:rsidR="006473FD">
        <w:rPr>
          <w:rFonts w:ascii="Tahoma" w:hAnsi="Tahoma"/>
          <w:b/>
          <w:sz w:val="18"/>
        </w:rPr>
        <w:t xml:space="preserve">– </w:t>
      </w:r>
      <w:r w:rsidR="00E33D9F">
        <w:rPr>
          <w:rFonts w:ascii="Tahoma" w:hAnsi="Tahoma" w:cs="Tahoma"/>
          <w:sz w:val="18"/>
          <w:szCs w:val="18"/>
        </w:rPr>
        <w:t>Zamawiający nie stawia warunków udziału w postępowaniu</w:t>
      </w:r>
      <w:r w:rsidR="006473FD" w:rsidRPr="002D6DCB">
        <w:rPr>
          <w:rFonts w:ascii="Tahoma" w:hAnsi="Tahoma"/>
          <w:color w:val="0070C0"/>
          <w:sz w:val="18"/>
          <w:szCs w:val="18"/>
        </w:rPr>
        <w:t xml:space="preserve">. </w:t>
      </w:r>
    </w:p>
    <w:p w:rsidR="008B2787"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5E3EFB">
        <w:rPr>
          <w:rFonts w:ascii="Tahoma" w:hAnsi="Tahoma" w:cs="Tahoma"/>
          <w:sz w:val="18"/>
          <w:szCs w:val="18"/>
        </w:rPr>
        <w:t xml:space="preserve">4 </w:t>
      </w:r>
      <w:r>
        <w:rPr>
          <w:rFonts w:ascii="Tahoma" w:hAnsi="Tahoma" w:cs="Tahoma"/>
          <w:sz w:val="18"/>
          <w:szCs w:val="18"/>
        </w:rPr>
        <w:t>do SIWZ</w:t>
      </w:r>
      <w:r w:rsidR="00684F9B" w:rsidRPr="00F0280E">
        <w:rPr>
          <w:rFonts w:ascii="Tahoma" w:hAnsi="Tahoma" w:cs="Tahoma"/>
          <w:b/>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5E3EFB">
        <w:rPr>
          <w:rFonts w:ascii="Tahoma" w:hAnsi="Tahoma" w:cs="Tahoma"/>
          <w:sz w:val="18"/>
          <w:szCs w:val="18"/>
        </w:rPr>
        <w:t xml:space="preserve">4 </w:t>
      </w:r>
      <w:r>
        <w:rPr>
          <w:rFonts w:ascii="Tahoma" w:hAnsi="Tahoma" w:cs="Tahoma"/>
          <w:sz w:val="18"/>
          <w:szCs w:val="18"/>
        </w:rPr>
        <w:t>do SIWZ) stanowią wstępne potwierdzenie, że Wykonawca nie podlega wykluczeniu</w:t>
      </w:r>
      <w:r w:rsidR="004F21FA">
        <w:rPr>
          <w:rFonts w:ascii="Tahoma" w:hAnsi="Tahoma" w:cs="Tahoma"/>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w:t>
      </w:r>
      <w:r w:rsidR="008F5E81">
        <w:rPr>
          <w:rFonts w:ascii="Tahoma" w:hAnsi="Tahoma" w:cs="Tahoma"/>
          <w:sz w:val="18"/>
          <w:szCs w:val="18"/>
        </w:rPr>
        <w:t>,</w:t>
      </w:r>
      <w:r>
        <w:rPr>
          <w:rFonts w:ascii="Tahoma" w:hAnsi="Tahoma" w:cs="Tahoma"/>
          <w:sz w:val="18"/>
          <w:szCs w:val="18"/>
        </w:rPr>
        <w:t xml:space="preserve"> zamieszcza informacje o tych podmiotach w aktualnym na dzień składania ofert oświadczeniu (załącznik nr </w:t>
      </w:r>
      <w:r w:rsidR="00946BF5">
        <w:rPr>
          <w:rFonts w:ascii="Tahoma" w:hAnsi="Tahoma" w:cs="Tahoma"/>
          <w:sz w:val="18"/>
          <w:szCs w:val="18"/>
        </w:rPr>
        <w:t xml:space="preserve">4 </w:t>
      </w:r>
      <w:r w:rsidR="00BB73A2">
        <w:rPr>
          <w:rFonts w:ascii="Tahoma" w:hAnsi="Tahoma" w:cs="Tahoma"/>
          <w:sz w:val="18"/>
          <w:szCs w:val="18"/>
        </w:rPr>
        <w:t>d</w:t>
      </w:r>
      <w:r>
        <w:rPr>
          <w:rFonts w:ascii="Tahoma" w:hAnsi="Tahoma" w:cs="Tahoma"/>
          <w:sz w:val="18"/>
          <w:szCs w:val="18"/>
        </w:rPr>
        <w:t>o SIWZ).</w:t>
      </w:r>
    </w:p>
    <w:p w:rsidR="00F0280E" w:rsidRPr="006D0188" w:rsidRDefault="006D0188"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E2EB8">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rsidR="00F0280E" w:rsidRPr="00684F9B"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465CA3">
        <w:rPr>
          <w:rFonts w:ascii="Tahoma" w:hAnsi="Tahoma"/>
          <w:b/>
          <w:sz w:val="18"/>
          <w:szCs w:val="18"/>
        </w:rPr>
        <w:t>4</w:t>
      </w:r>
      <w:r w:rsidR="00946BF5">
        <w:rPr>
          <w:rFonts w:ascii="Tahoma" w:hAnsi="Tahoma"/>
          <w:b/>
          <w:sz w:val="18"/>
          <w:szCs w:val="18"/>
        </w:rPr>
        <w:t xml:space="preserve"> </w:t>
      </w:r>
      <w:r>
        <w:rPr>
          <w:rFonts w:ascii="Tahoma" w:hAnsi="Tahoma"/>
          <w:b/>
          <w:sz w:val="18"/>
          <w:szCs w:val="18"/>
        </w:rPr>
        <w:t>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sidR="006C46BD">
        <w:rPr>
          <w:rFonts w:ascii="Tahoma" w:hAnsi="Tahoma" w:cs="Tahoma"/>
          <w:sz w:val="18"/>
          <w:szCs w:val="18"/>
        </w:rPr>
        <w:t>Dokumenty te</w:t>
      </w:r>
      <w:r w:rsidR="008F5E81">
        <w:rPr>
          <w:rFonts w:ascii="Tahoma" w:hAnsi="Tahoma" w:cs="Tahoma"/>
          <w:sz w:val="18"/>
          <w:szCs w:val="18"/>
        </w:rPr>
        <w:t xml:space="preserve"> wstępnie potwierdzają </w:t>
      </w:r>
      <w:r w:rsidR="006C46BD">
        <w:rPr>
          <w:rFonts w:ascii="Tahoma" w:hAnsi="Tahoma" w:cs="Tahoma"/>
          <w:sz w:val="18"/>
          <w:szCs w:val="18"/>
        </w:rPr>
        <w:t>brak podstaw wykluczenia</w:t>
      </w:r>
      <w:r>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xml:space="preserve">- w przypadku wskazania przez Wykonawcę dostępności wymaganych w niniejszym rozdziale dokumentów lub oświadczeń w formie elektronicznej pod określonymi adresami internetowymi, </w:t>
      </w:r>
      <w:r w:rsidRPr="00CA5B8A">
        <w:rPr>
          <w:rFonts w:ascii="Tahoma" w:hAnsi="Tahoma" w:cs="Tahoma"/>
          <w:sz w:val="18"/>
          <w:szCs w:val="18"/>
        </w:rPr>
        <w:lastRenderedPageBreak/>
        <w:t>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DE2EB8">
        <w:rPr>
          <w:rFonts w:ascii="Tahoma" w:hAnsi="Tahoma" w:cs="Tahoma"/>
          <w:b/>
          <w:color w:val="0070C0"/>
          <w:sz w:val="18"/>
          <w:szCs w:val="18"/>
        </w:rPr>
        <w:t>3</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7.3 SIWZ):</w:t>
      </w:r>
    </w:p>
    <w:p w:rsidR="00CC5DF4" w:rsidRDefault="00CC5DF4" w:rsidP="003A7B01">
      <w:pPr>
        <w:pStyle w:val="Akapitzlist"/>
        <w:numPr>
          <w:ilvl w:val="2"/>
          <w:numId w:val="4"/>
        </w:numPr>
        <w:spacing w:before="120"/>
        <w:ind w:left="993" w:hanging="579"/>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 numerem katalogowym zaoferowanego przedmiotu zamówienia </w:t>
      </w:r>
      <w:r>
        <w:rPr>
          <w:rFonts w:ascii="Tahoma" w:hAnsi="Tahoma"/>
          <w:iCs/>
          <w:sz w:val="18"/>
          <w:highlight w:val="yellow"/>
        </w:rPr>
        <w:t>(numer katalogowy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 W przypadku braku numeru katalogowego lub informacji o numerze katalogowym w katalogu, prospekcie lub folderze, należy złożyć oświadczenie Wykonawcy, w powyższym zakresie.</w:t>
      </w:r>
    </w:p>
    <w:p w:rsidR="006866B3" w:rsidRPr="00E720BD" w:rsidRDefault="00E720BD" w:rsidP="003A7B01">
      <w:pPr>
        <w:pStyle w:val="Akapitzlist"/>
        <w:numPr>
          <w:ilvl w:val="2"/>
          <w:numId w:val="4"/>
        </w:numPr>
        <w:spacing w:before="120"/>
        <w:ind w:left="993" w:hanging="579"/>
        <w:jc w:val="both"/>
        <w:rPr>
          <w:rFonts w:ascii="Tahoma" w:hAnsi="Tahoma" w:cs="Tahoma"/>
          <w:sz w:val="18"/>
          <w:szCs w:val="18"/>
        </w:rPr>
      </w:pPr>
      <w:r>
        <w:rPr>
          <w:rFonts w:ascii="Tahoma" w:hAnsi="Tahoma" w:cs="Tahoma"/>
          <w:sz w:val="18"/>
          <w:szCs w:val="18"/>
        </w:rPr>
        <w:t xml:space="preserve">W przypadku złożenia oferty na </w:t>
      </w:r>
      <w:r w:rsidRPr="00E720BD">
        <w:rPr>
          <w:rFonts w:ascii="Tahoma" w:hAnsi="Tahoma" w:cs="Tahoma"/>
          <w:b/>
          <w:sz w:val="18"/>
          <w:szCs w:val="18"/>
        </w:rPr>
        <w:t xml:space="preserve">Pakiet </w:t>
      </w:r>
      <w:r w:rsidR="00CB5784">
        <w:rPr>
          <w:rFonts w:ascii="Tahoma" w:hAnsi="Tahoma" w:cs="Tahoma"/>
          <w:b/>
          <w:sz w:val="18"/>
          <w:szCs w:val="18"/>
        </w:rPr>
        <w:t xml:space="preserve">nr </w:t>
      </w:r>
      <w:r w:rsidRPr="00E720BD">
        <w:rPr>
          <w:rFonts w:ascii="Tahoma" w:hAnsi="Tahoma" w:cs="Tahoma"/>
          <w:b/>
          <w:sz w:val="18"/>
          <w:szCs w:val="18"/>
        </w:rPr>
        <w:t>6 poz. 1,3; Pakiet</w:t>
      </w:r>
      <w:r w:rsidR="00CB5784">
        <w:rPr>
          <w:rFonts w:ascii="Tahoma" w:hAnsi="Tahoma" w:cs="Tahoma"/>
          <w:b/>
          <w:sz w:val="18"/>
          <w:szCs w:val="18"/>
        </w:rPr>
        <w:t xml:space="preserve"> nr</w:t>
      </w:r>
      <w:r w:rsidRPr="00E720BD">
        <w:rPr>
          <w:rFonts w:ascii="Tahoma" w:hAnsi="Tahoma" w:cs="Tahoma"/>
          <w:b/>
          <w:sz w:val="18"/>
          <w:szCs w:val="18"/>
        </w:rPr>
        <w:t xml:space="preserve"> 7 poz. 1,2; Pakiet</w:t>
      </w:r>
      <w:r w:rsidR="00CB5784">
        <w:rPr>
          <w:rFonts w:ascii="Tahoma" w:hAnsi="Tahoma" w:cs="Tahoma"/>
          <w:b/>
          <w:sz w:val="18"/>
          <w:szCs w:val="18"/>
        </w:rPr>
        <w:t xml:space="preserve"> nr</w:t>
      </w:r>
      <w:r w:rsidRPr="00E720BD">
        <w:rPr>
          <w:rFonts w:ascii="Tahoma" w:hAnsi="Tahoma" w:cs="Tahoma"/>
          <w:b/>
          <w:sz w:val="18"/>
          <w:szCs w:val="18"/>
        </w:rPr>
        <w:t xml:space="preserve"> 15 poz. 1, 2, 4; Pakiet</w:t>
      </w:r>
      <w:r w:rsidR="00CB5784">
        <w:rPr>
          <w:rFonts w:ascii="Tahoma" w:hAnsi="Tahoma" w:cs="Tahoma"/>
          <w:b/>
          <w:sz w:val="18"/>
          <w:szCs w:val="18"/>
        </w:rPr>
        <w:t xml:space="preserve"> nr</w:t>
      </w:r>
      <w:r w:rsidRPr="00E720BD">
        <w:rPr>
          <w:rFonts w:ascii="Tahoma" w:hAnsi="Tahoma" w:cs="Tahoma"/>
          <w:b/>
          <w:sz w:val="18"/>
          <w:szCs w:val="18"/>
        </w:rPr>
        <w:t xml:space="preserve"> 16 poz. 1, 7</w:t>
      </w:r>
      <w:r>
        <w:rPr>
          <w:rFonts w:ascii="Tahoma" w:hAnsi="Tahoma" w:cs="Tahoma"/>
          <w:sz w:val="18"/>
          <w:szCs w:val="18"/>
        </w:rPr>
        <w:t xml:space="preserve"> należy złożyć </w:t>
      </w:r>
      <w:r w:rsidR="005C3B32">
        <w:rPr>
          <w:rFonts w:ascii="Tahoma" w:hAnsi="Tahoma" w:cs="Tahoma"/>
          <w:sz w:val="18"/>
          <w:szCs w:val="18"/>
        </w:rPr>
        <w:t>o</w:t>
      </w:r>
      <w:r w:rsidRPr="00E720BD">
        <w:rPr>
          <w:rFonts w:ascii="Tahoma" w:hAnsi="Tahoma" w:cs="Tahoma"/>
          <w:sz w:val="18"/>
          <w:szCs w:val="18"/>
        </w:rPr>
        <w:t>świadczenie Wykonawcy, że oferowany wyrób medyczny spełnia wymogi Ustawy z dnia 20 maja 2010r. o wyrobach medycznych (tj. Dz.U. z 2019r., poz. 175</w:t>
      </w:r>
      <w:r w:rsidR="00092551">
        <w:rPr>
          <w:rFonts w:ascii="Tahoma" w:hAnsi="Tahoma" w:cs="Tahoma"/>
          <w:sz w:val="18"/>
          <w:szCs w:val="18"/>
        </w:rPr>
        <w:t xml:space="preserve"> tj</w:t>
      </w:r>
      <w:r w:rsidRPr="00E720BD">
        <w:rPr>
          <w:rFonts w:ascii="Tahoma" w:hAnsi="Tahoma" w:cs="Tahoma"/>
          <w:sz w:val="18"/>
          <w:szCs w:val="18"/>
        </w:rPr>
        <w:t xml:space="preserve"> ze zm.) – w tym posiada ważne i aktualne na dzień otwarcia ofert dokumenty / zgłoszenia / powiadomienia potwierdzające dopuszczenie do obrotu na terenie RP m.in. (jeżeli dotyczy): Deklaracje </w:t>
      </w:r>
      <w:r w:rsidRPr="00E720BD">
        <w:rPr>
          <w:rFonts w:ascii="Tahoma" w:hAnsi="Tahoma" w:cs="Tahoma"/>
          <w:sz w:val="18"/>
          <w:szCs w:val="18"/>
        </w:rPr>
        <w:lastRenderedPageBreak/>
        <w:t>Zgodności; Certyfikat wydany przez jednostkę notyfikowaną; dokonano powiadomienia lub zgłoszenia Prezesa Urzędu Rejestracji Produktów Leczniczych, Wyrobów Medycznych i Produktów Biobójczych,  w trybie art. 58 ustawy o wyrobach medycznych. Na każde pisemne wezwanie Zamawiającego, Wykonawca dostarczy, dokumenty potwierdzające spełnienie powyższego wymogu w terminie 3 dni roboczych od dnia wezwania</w:t>
      </w:r>
      <w:r>
        <w:rPr>
          <w:rFonts w:ascii="Tahoma" w:hAnsi="Tahoma" w:cs="Tahoma"/>
          <w:sz w:val="18"/>
          <w:szCs w:val="18"/>
        </w:rPr>
        <w:t>.</w:t>
      </w:r>
    </w:p>
    <w:p w:rsidR="00125BF6" w:rsidRDefault="006866B3" w:rsidP="003A7B01">
      <w:pPr>
        <w:pStyle w:val="Akapitzlist"/>
        <w:numPr>
          <w:ilvl w:val="2"/>
          <w:numId w:val="4"/>
        </w:numPr>
        <w:spacing w:before="120"/>
        <w:ind w:left="993" w:hanging="579"/>
        <w:jc w:val="both"/>
        <w:rPr>
          <w:rFonts w:ascii="Tahoma" w:hAnsi="Tahoma" w:cs="Tahoma"/>
          <w:sz w:val="18"/>
          <w:szCs w:val="18"/>
        </w:rPr>
      </w:pPr>
      <w:r>
        <w:rPr>
          <w:rFonts w:ascii="Tahoma" w:hAnsi="Tahoma" w:cs="Tahoma"/>
          <w:sz w:val="18"/>
          <w:szCs w:val="18"/>
        </w:rPr>
        <w:t xml:space="preserve">W przypadku złożenia oferty na </w:t>
      </w:r>
      <w:r w:rsidRPr="00C54C96">
        <w:rPr>
          <w:rFonts w:ascii="Tahoma" w:hAnsi="Tahoma" w:cs="Tahoma"/>
          <w:b/>
          <w:sz w:val="18"/>
          <w:szCs w:val="18"/>
        </w:rPr>
        <w:t xml:space="preserve">Pakiet nr 2 </w:t>
      </w:r>
      <w:r w:rsidR="005C3B32" w:rsidRPr="00C54C96">
        <w:rPr>
          <w:rFonts w:ascii="Tahoma" w:hAnsi="Tahoma" w:cs="Tahoma"/>
          <w:b/>
          <w:sz w:val="18"/>
          <w:szCs w:val="18"/>
        </w:rPr>
        <w:t xml:space="preserve">poz. 2; Pakiet </w:t>
      </w:r>
      <w:r w:rsidR="00CB5784">
        <w:rPr>
          <w:rFonts w:ascii="Tahoma" w:hAnsi="Tahoma" w:cs="Tahoma"/>
          <w:b/>
          <w:sz w:val="18"/>
          <w:szCs w:val="18"/>
        </w:rPr>
        <w:t xml:space="preserve">nr </w:t>
      </w:r>
      <w:r w:rsidR="005C3B32" w:rsidRPr="00C54C96">
        <w:rPr>
          <w:rFonts w:ascii="Tahoma" w:hAnsi="Tahoma" w:cs="Tahoma"/>
          <w:b/>
          <w:sz w:val="18"/>
          <w:szCs w:val="18"/>
        </w:rPr>
        <w:t>16 poz. 9</w:t>
      </w:r>
      <w:r w:rsidR="005C3B32">
        <w:rPr>
          <w:rFonts w:ascii="Tahoma" w:hAnsi="Tahoma" w:cs="Tahoma"/>
          <w:sz w:val="18"/>
          <w:szCs w:val="18"/>
        </w:rPr>
        <w:t>, należy złożyć oświadczeni</w:t>
      </w:r>
      <w:r w:rsidR="00125BF6">
        <w:rPr>
          <w:rFonts w:ascii="Tahoma" w:hAnsi="Tahoma" w:cs="Tahoma"/>
          <w:sz w:val="18"/>
          <w:szCs w:val="18"/>
        </w:rPr>
        <w:t>e</w:t>
      </w:r>
      <w:r w:rsidR="005C3B32">
        <w:rPr>
          <w:rFonts w:ascii="Tahoma" w:hAnsi="Tahoma" w:cs="Tahoma"/>
          <w:sz w:val="18"/>
          <w:szCs w:val="18"/>
        </w:rPr>
        <w:t xml:space="preserve"> Wykonawcy, że oferowane produkty biobójcze spełniają wymogi ustawy </w:t>
      </w:r>
      <w:r w:rsidR="005C3B32">
        <w:rPr>
          <w:rFonts w:ascii="Tahoma" w:hAnsi="Tahoma"/>
          <w:iCs/>
          <w:sz w:val="18"/>
        </w:rPr>
        <w:t xml:space="preserve">z dnia 9 października 2015r. o produktach biobójczych (Dz. U. z 2018r. poz. </w:t>
      </w:r>
      <w:r w:rsidR="00C54C96">
        <w:rPr>
          <w:rFonts w:ascii="Tahoma" w:hAnsi="Tahoma"/>
          <w:iCs/>
          <w:sz w:val="18"/>
        </w:rPr>
        <w:t>2231</w:t>
      </w:r>
      <w:r w:rsidR="005C3B32">
        <w:rPr>
          <w:rFonts w:ascii="Tahoma" w:hAnsi="Tahoma"/>
          <w:iCs/>
          <w:sz w:val="18"/>
        </w:rPr>
        <w:t xml:space="preserve"> tj.</w:t>
      </w:r>
      <w:r w:rsidR="00C54C96">
        <w:rPr>
          <w:rFonts w:ascii="Tahoma" w:hAnsi="Tahoma"/>
          <w:iCs/>
          <w:sz w:val="18"/>
        </w:rPr>
        <w:t>)</w:t>
      </w:r>
      <w:r w:rsidR="005C3B32">
        <w:rPr>
          <w:rFonts w:ascii="Tahoma" w:hAnsi="Tahoma"/>
          <w:iCs/>
          <w:sz w:val="18"/>
        </w:rPr>
        <w:t xml:space="preserve"> </w:t>
      </w:r>
      <w:r w:rsidR="00C54C96">
        <w:rPr>
          <w:rFonts w:ascii="Tahoma" w:hAnsi="Tahoma"/>
          <w:iCs/>
          <w:sz w:val="18"/>
        </w:rPr>
        <w:t xml:space="preserve">w tym </w:t>
      </w:r>
      <w:r w:rsidR="00125BF6">
        <w:rPr>
          <w:rFonts w:ascii="Tahoma" w:hAnsi="Tahoma"/>
          <w:iCs/>
          <w:sz w:val="18"/>
        </w:rPr>
        <w:t>są</w:t>
      </w:r>
      <w:r w:rsidR="00C54C96">
        <w:rPr>
          <w:rFonts w:ascii="Tahoma" w:hAnsi="Tahoma"/>
          <w:iCs/>
          <w:sz w:val="18"/>
        </w:rPr>
        <w:t xml:space="preserve"> wpisan</w:t>
      </w:r>
      <w:r w:rsidR="00125BF6">
        <w:rPr>
          <w:rFonts w:ascii="Tahoma" w:hAnsi="Tahoma"/>
          <w:iCs/>
          <w:sz w:val="18"/>
        </w:rPr>
        <w:t>e</w:t>
      </w:r>
      <w:r w:rsidR="00C54C96">
        <w:rPr>
          <w:rFonts w:ascii="Tahoma" w:hAnsi="Tahoma"/>
          <w:iCs/>
          <w:sz w:val="18"/>
        </w:rPr>
        <w:t xml:space="preserve"> w Wykazie Produktów Biobójczych. </w:t>
      </w:r>
      <w:r w:rsidR="00C54C96" w:rsidRPr="00E720BD">
        <w:rPr>
          <w:rFonts w:ascii="Tahoma" w:hAnsi="Tahoma" w:cs="Tahoma"/>
          <w:sz w:val="18"/>
          <w:szCs w:val="18"/>
        </w:rPr>
        <w:t>Na każde pisemne wezwanie Zamawiającego, Wykonawca dostarczy, dokumenty potwierdzające spełnienie powyższego wymogu w terminie 3 dni roboczych od dnia wezwania</w:t>
      </w:r>
      <w:r w:rsidR="00125BF6">
        <w:rPr>
          <w:rFonts w:ascii="Tahoma" w:hAnsi="Tahoma" w:cs="Tahoma"/>
          <w:sz w:val="18"/>
          <w:szCs w:val="18"/>
        </w:rPr>
        <w:t>.</w:t>
      </w:r>
    </w:p>
    <w:p w:rsidR="00125BF6" w:rsidRPr="00BF03BE" w:rsidRDefault="00125BF6" w:rsidP="003A7B01">
      <w:pPr>
        <w:pStyle w:val="Akapitzlist"/>
        <w:numPr>
          <w:ilvl w:val="2"/>
          <w:numId w:val="4"/>
        </w:numPr>
        <w:spacing w:before="120"/>
        <w:ind w:left="993" w:hanging="579"/>
        <w:jc w:val="both"/>
        <w:rPr>
          <w:rFonts w:ascii="Tahoma" w:hAnsi="Tahoma" w:cs="Tahoma"/>
          <w:sz w:val="18"/>
          <w:szCs w:val="18"/>
        </w:rPr>
      </w:pPr>
      <w:r>
        <w:rPr>
          <w:rFonts w:ascii="Tahoma" w:hAnsi="Tahoma"/>
          <w:iCs/>
          <w:sz w:val="18"/>
        </w:rPr>
        <w:t xml:space="preserve">W przypadku złożenia oferty na </w:t>
      </w:r>
      <w:r w:rsidRPr="00125BF6">
        <w:rPr>
          <w:rFonts w:ascii="Tahoma" w:hAnsi="Tahoma"/>
          <w:b/>
          <w:iCs/>
          <w:sz w:val="18"/>
        </w:rPr>
        <w:t xml:space="preserve">Pakiet </w:t>
      </w:r>
      <w:r w:rsidR="00CB5784">
        <w:rPr>
          <w:rFonts w:ascii="Tahoma" w:hAnsi="Tahoma"/>
          <w:b/>
          <w:iCs/>
          <w:sz w:val="18"/>
        </w:rPr>
        <w:t xml:space="preserve">nr </w:t>
      </w:r>
      <w:r w:rsidRPr="00125BF6">
        <w:rPr>
          <w:rFonts w:ascii="Tahoma" w:hAnsi="Tahoma"/>
          <w:b/>
          <w:iCs/>
          <w:sz w:val="18"/>
        </w:rPr>
        <w:t>2 poz. 3</w:t>
      </w:r>
      <w:r>
        <w:rPr>
          <w:rFonts w:ascii="Tahoma" w:hAnsi="Tahoma"/>
          <w:iCs/>
          <w:sz w:val="18"/>
        </w:rPr>
        <w:t>, należy złożyć oświadczenie Wykonawcy, że zaoferowany kosmetyk spełnia wymogi rozporządzenia Parlamentu Europejskiego i Rady (WE) nr 1223/2009 z dnia 30 listopada 2009r.</w:t>
      </w:r>
      <w:r w:rsidR="00356DC1">
        <w:rPr>
          <w:rFonts w:ascii="Tahoma" w:hAnsi="Tahoma"/>
          <w:iCs/>
          <w:sz w:val="18"/>
        </w:rPr>
        <w:t xml:space="preserve"> dotyczącego produktów kosmetycznych.</w:t>
      </w:r>
    </w:p>
    <w:p w:rsidR="00BF03BE" w:rsidRPr="00125BF6" w:rsidRDefault="00BF03BE" w:rsidP="003A7B01">
      <w:pPr>
        <w:pStyle w:val="Akapitzlist"/>
        <w:numPr>
          <w:ilvl w:val="2"/>
          <w:numId w:val="4"/>
        </w:numPr>
        <w:spacing w:before="120"/>
        <w:ind w:left="993" w:hanging="579"/>
        <w:jc w:val="both"/>
        <w:rPr>
          <w:rFonts w:ascii="Tahoma" w:hAnsi="Tahoma" w:cs="Tahoma"/>
          <w:sz w:val="18"/>
          <w:szCs w:val="18"/>
        </w:rPr>
      </w:pPr>
      <w:r>
        <w:rPr>
          <w:rFonts w:ascii="Tahoma" w:hAnsi="Tahoma" w:cs="Tahoma"/>
          <w:sz w:val="18"/>
          <w:szCs w:val="18"/>
        </w:rPr>
        <w:t>Oświadczenie Wykonawcy, że zaoferowany przedmiot zamówienia spełnia wymogi ustawy</w:t>
      </w:r>
      <w:r w:rsidR="004F0545">
        <w:rPr>
          <w:rFonts w:ascii="Tahoma" w:hAnsi="Tahoma" w:cs="Tahoma"/>
          <w:sz w:val="18"/>
          <w:szCs w:val="18"/>
        </w:rPr>
        <w:t xml:space="preserve"> z dnia                  25 lutego 201</w:t>
      </w:r>
      <w:r w:rsidR="005409F3">
        <w:rPr>
          <w:rFonts w:ascii="Tahoma" w:hAnsi="Tahoma" w:cs="Tahoma"/>
          <w:sz w:val="18"/>
          <w:szCs w:val="18"/>
        </w:rPr>
        <w:t>1</w:t>
      </w:r>
      <w:r w:rsidR="004F0545">
        <w:rPr>
          <w:rFonts w:ascii="Tahoma" w:hAnsi="Tahoma" w:cs="Tahoma"/>
          <w:sz w:val="18"/>
          <w:szCs w:val="18"/>
        </w:rPr>
        <w:t xml:space="preserve">r. o substancjach chemicznych i ich mieszaninach (Dz.U. nr </w:t>
      </w:r>
      <w:r w:rsidR="00083BDE">
        <w:rPr>
          <w:rFonts w:ascii="Tahoma" w:hAnsi="Tahoma" w:cs="Tahoma"/>
          <w:sz w:val="18"/>
          <w:szCs w:val="18"/>
        </w:rPr>
        <w:t>2019r.</w:t>
      </w:r>
      <w:r w:rsidR="004F0545">
        <w:rPr>
          <w:rFonts w:ascii="Tahoma" w:hAnsi="Tahoma" w:cs="Tahoma"/>
          <w:sz w:val="18"/>
          <w:szCs w:val="18"/>
        </w:rPr>
        <w:t xml:space="preserve"> poz. </w:t>
      </w:r>
      <w:r w:rsidR="00083BDE">
        <w:rPr>
          <w:rFonts w:ascii="Tahoma" w:hAnsi="Tahoma" w:cs="Tahoma"/>
          <w:sz w:val="18"/>
          <w:szCs w:val="18"/>
        </w:rPr>
        <w:t>1225 t.j.</w:t>
      </w:r>
      <w:r w:rsidR="004F0545">
        <w:rPr>
          <w:rFonts w:ascii="Tahoma" w:hAnsi="Tahoma" w:cs="Tahoma"/>
          <w:sz w:val="18"/>
          <w:szCs w:val="18"/>
        </w:rPr>
        <w:t xml:space="preserve">), jeżeli dotyczy. W przypadku, gdy przedmiot zamówienia nie wymaga spełnienia powyższego warunku, Wykonawca złoży oświadczenie o braku konieczności spełnienia powyższego wymogu. </w:t>
      </w:r>
    </w:p>
    <w:p w:rsidR="006C3A11" w:rsidRDefault="006C3A11" w:rsidP="004F0545">
      <w:pPr>
        <w:numPr>
          <w:ilvl w:val="1"/>
          <w:numId w:val="4"/>
        </w:numPr>
        <w:spacing w:before="120" w:line="276" w:lineRule="auto"/>
        <w:ind w:left="426"/>
        <w:jc w:val="both"/>
        <w:rPr>
          <w:rFonts w:ascii="Tahoma" w:hAnsi="Tahoma" w:cs="Tahoma"/>
          <w:sz w:val="18"/>
          <w:szCs w:val="18"/>
        </w:rPr>
      </w:pPr>
      <w:bookmarkStart w:id="1"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1"/>
      <w:r>
        <w:rPr>
          <w:rFonts w:ascii="Tahoma" w:hAnsi="Tahoma"/>
          <w:iCs/>
          <w:sz w:val="18"/>
        </w:rPr>
        <w:t>.</w:t>
      </w:r>
    </w:p>
    <w:p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E248A9" w:rsidRDefault="00A44C69" w:rsidP="006D3BC3">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3A662C" w:rsidRPr="007E3A10" w:rsidRDefault="003A662C" w:rsidP="003A662C">
      <w:pPr>
        <w:numPr>
          <w:ilvl w:val="1"/>
          <w:numId w:val="18"/>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 xml:space="preserve">w celu wykazania braku istnienia wobec nich podstaw wykluczenia </w:t>
      </w:r>
      <w:r w:rsidRPr="007E3A10">
        <w:rPr>
          <w:rFonts w:ascii="Tahoma" w:hAnsi="Tahoma"/>
          <w:sz w:val="18"/>
          <w:szCs w:val="18"/>
        </w:rPr>
        <w:t>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w:t>
      </w:r>
      <w:r w:rsidRPr="00C92B5D">
        <w:rPr>
          <w:rFonts w:ascii="Tahoma" w:hAnsi="Tahoma" w:cs="Tahoma"/>
          <w:sz w:val="18"/>
          <w:szCs w:val="18"/>
        </w:rPr>
        <w:lastRenderedPageBreak/>
        <w:t xml:space="preserve">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SIWZ (za wyjątkiem 7.</w:t>
      </w:r>
      <w:r w:rsidR="004A1D04">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E83ABF">
        <w:rPr>
          <w:rFonts w:ascii="Tahoma" w:hAnsi="Tahoma" w:cs="Tahoma"/>
          <w:sz w:val="18"/>
          <w:szCs w:val="18"/>
        </w:rPr>
        <w:t>2</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do SIWZ</w:t>
      </w:r>
      <w:r w:rsidR="00036073" w:rsidRPr="00036073">
        <w:rPr>
          <w:rFonts w:ascii="Tahoma" w:hAnsi="Tahoma"/>
          <w:sz w:val="18"/>
          <w:szCs w:val="18"/>
        </w:rPr>
        <w:t xml:space="preserve">. Dokument </w:t>
      </w:r>
      <w:r w:rsidR="004A1D04">
        <w:rPr>
          <w:rFonts w:ascii="Tahoma" w:hAnsi="Tahoma"/>
          <w:sz w:val="18"/>
          <w:szCs w:val="18"/>
        </w:rPr>
        <w:t>ten</w:t>
      </w:r>
      <w:r w:rsidR="00036073" w:rsidRPr="00036073">
        <w:rPr>
          <w:rFonts w:ascii="Tahoma" w:hAnsi="Tahoma"/>
          <w:sz w:val="18"/>
          <w:szCs w:val="18"/>
        </w:rPr>
        <w:t xml:space="preserve"> potwierdza brak podstaw wykluczenia</w:t>
      </w:r>
      <w:r w:rsidR="00036073">
        <w:rPr>
          <w:rFonts w:ascii="Tahoma" w:hAnsi="Tahoma"/>
          <w:sz w:val="18"/>
          <w:szCs w:val="18"/>
        </w:rPr>
        <w:t xml:space="preserve"> brak podstaw wykluczenia</w:t>
      </w:r>
      <w:r w:rsidR="002C44F6" w:rsidRPr="00D456B4">
        <w:rPr>
          <w:rFonts w:ascii="Tahoma" w:hAnsi="Tahoma" w:cs="Tahoma"/>
          <w:sz w:val="18"/>
          <w:szCs w:val="18"/>
        </w:rPr>
        <w:t>,</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lastRenderedPageBreak/>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3"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4"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lastRenderedPageBreak/>
        <w:t xml:space="preserve">10.2. </w:t>
      </w:r>
      <w:r>
        <w:rPr>
          <w:rFonts w:ascii="Arial" w:hAnsi="Arial"/>
        </w:rPr>
        <w:t>Każda oferta musi być zabezpieczona wadium. W przypadku gdy Wykonawca składa ofertę na     wszystkie pakiety wadium wynosi 9 494,00 PLN</w:t>
      </w:r>
      <w:r>
        <w:rPr>
          <w:rFonts w:ascii="Arial" w:hAnsi="Arial"/>
          <w:bCs/>
        </w:rPr>
        <w:t xml:space="preserve"> (słownie: dziewięć tysięcy czterysta dziewięćdziesiąt cztery złote 00/100). Wadia na poszczególne zadania wynoszą:</w:t>
      </w:r>
    </w:p>
    <w:tbl>
      <w:tblPr>
        <w:tblW w:w="3686" w:type="dxa"/>
        <w:tblInd w:w="212" w:type="dxa"/>
        <w:tblCellMar>
          <w:left w:w="70" w:type="dxa"/>
          <w:right w:w="70" w:type="dxa"/>
        </w:tblCellMar>
        <w:tblLook w:val="04A0" w:firstRow="1" w:lastRow="0" w:firstColumn="1" w:lastColumn="0" w:noHBand="0" w:noVBand="1"/>
      </w:tblPr>
      <w:tblGrid>
        <w:gridCol w:w="1559"/>
        <w:gridCol w:w="2127"/>
      </w:tblGrid>
      <w:tr w:rsidR="00D32A96" w:rsidTr="00D32A96">
        <w:trPr>
          <w:trHeight w:val="834"/>
        </w:trPr>
        <w:tc>
          <w:tcPr>
            <w:tcW w:w="1559" w:type="dxa"/>
            <w:tcBorders>
              <w:top w:val="single" w:sz="4" w:space="0" w:color="000000"/>
              <w:left w:val="single" w:sz="4" w:space="0" w:color="000000"/>
              <w:bottom w:val="nil"/>
              <w:right w:val="single" w:sz="4" w:space="0" w:color="000000"/>
            </w:tcBorders>
            <w:vAlign w:val="center"/>
            <w:hideMark/>
          </w:tcPr>
          <w:p w:rsidR="00D32A96" w:rsidRDefault="00D32A96">
            <w:pPr>
              <w:jc w:val="center"/>
              <w:rPr>
                <w:rFonts w:ascii="Tahoma" w:hAnsi="Tahoma"/>
                <w:b/>
                <w:sz w:val="18"/>
                <w:szCs w:val="18"/>
              </w:rPr>
            </w:pPr>
            <w:r>
              <w:rPr>
                <w:rFonts w:ascii="Tahoma" w:hAnsi="Tahoma"/>
                <w:b/>
                <w:sz w:val="18"/>
                <w:szCs w:val="18"/>
              </w:rPr>
              <w:t>Numer pakietu</w:t>
            </w:r>
          </w:p>
        </w:tc>
        <w:tc>
          <w:tcPr>
            <w:tcW w:w="2127" w:type="dxa"/>
            <w:tcBorders>
              <w:top w:val="single" w:sz="4" w:space="0" w:color="000000"/>
              <w:left w:val="nil"/>
              <w:bottom w:val="nil"/>
              <w:right w:val="single" w:sz="4" w:space="0" w:color="auto"/>
            </w:tcBorders>
            <w:noWrap/>
            <w:vAlign w:val="center"/>
            <w:hideMark/>
          </w:tcPr>
          <w:p w:rsidR="00D32A96" w:rsidRDefault="00D32A96">
            <w:pPr>
              <w:jc w:val="center"/>
              <w:rPr>
                <w:rFonts w:ascii="Tahoma" w:hAnsi="Tahoma"/>
                <w:b/>
                <w:sz w:val="18"/>
                <w:szCs w:val="18"/>
              </w:rPr>
            </w:pPr>
            <w:r>
              <w:rPr>
                <w:rFonts w:ascii="Tahoma" w:hAnsi="Tahoma"/>
                <w:b/>
                <w:sz w:val="18"/>
                <w:szCs w:val="18"/>
              </w:rPr>
              <w:t>Wartość wadium              w PLN</w:t>
            </w:r>
          </w:p>
        </w:tc>
      </w:tr>
      <w:tr w:rsidR="00803E5A" w:rsidTr="00D32A96">
        <w:trPr>
          <w:trHeight w:val="285"/>
        </w:trPr>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w:t>
            </w:r>
          </w:p>
        </w:tc>
        <w:tc>
          <w:tcPr>
            <w:tcW w:w="2127" w:type="dxa"/>
            <w:tcBorders>
              <w:top w:val="single" w:sz="4" w:space="0" w:color="000000"/>
              <w:left w:val="nil"/>
              <w:bottom w:val="single" w:sz="4" w:space="0" w:color="000000"/>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964,00   </w:t>
            </w:r>
          </w:p>
        </w:tc>
      </w:tr>
      <w:tr w:rsidR="00803E5A" w:rsidTr="00D32A96">
        <w:trPr>
          <w:trHeight w:val="285"/>
        </w:trPr>
        <w:tc>
          <w:tcPr>
            <w:tcW w:w="1559" w:type="dxa"/>
            <w:tcBorders>
              <w:top w:val="nil"/>
              <w:left w:val="single" w:sz="4" w:space="0" w:color="000000"/>
              <w:bottom w:val="single" w:sz="4" w:space="0" w:color="000000"/>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2</w:t>
            </w:r>
          </w:p>
        </w:tc>
        <w:tc>
          <w:tcPr>
            <w:tcW w:w="2127" w:type="dxa"/>
            <w:tcBorders>
              <w:top w:val="nil"/>
              <w:left w:val="nil"/>
              <w:bottom w:val="single" w:sz="4" w:space="0" w:color="000000"/>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915,00   </w:t>
            </w:r>
          </w:p>
        </w:tc>
      </w:tr>
      <w:tr w:rsidR="00803E5A" w:rsidTr="00D32A96">
        <w:trPr>
          <w:trHeight w:val="285"/>
        </w:trPr>
        <w:tc>
          <w:tcPr>
            <w:tcW w:w="1559" w:type="dxa"/>
            <w:tcBorders>
              <w:top w:val="nil"/>
              <w:left w:val="single" w:sz="4" w:space="0" w:color="000000"/>
              <w:bottom w:val="single" w:sz="4" w:space="0" w:color="000000"/>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3</w:t>
            </w:r>
          </w:p>
        </w:tc>
        <w:tc>
          <w:tcPr>
            <w:tcW w:w="2127" w:type="dxa"/>
            <w:tcBorders>
              <w:top w:val="nil"/>
              <w:left w:val="nil"/>
              <w:bottom w:val="single" w:sz="4" w:space="0" w:color="000000"/>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42,00   </w:t>
            </w:r>
          </w:p>
        </w:tc>
      </w:tr>
      <w:tr w:rsidR="00803E5A" w:rsidTr="00D32A96">
        <w:trPr>
          <w:trHeight w:val="285"/>
        </w:trPr>
        <w:tc>
          <w:tcPr>
            <w:tcW w:w="1559" w:type="dxa"/>
            <w:tcBorders>
              <w:top w:val="single" w:sz="4" w:space="0" w:color="000000"/>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4</w:t>
            </w:r>
          </w:p>
        </w:tc>
        <w:tc>
          <w:tcPr>
            <w:tcW w:w="2127" w:type="dxa"/>
            <w:tcBorders>
              <w:top w:val="single" w:sz="4" w:space="0" w:color="000000"/>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298,00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5</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229,00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6</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1 184,00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7</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210,00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8</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407,00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9</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685,00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10</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480,00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11</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1 351,00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12</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107,00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13</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477,00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14</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295,00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15</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273,00   </w:t>
            </w:r>
          </w:p>
        </w:tc>
      </w:tr>
      <w:tr w:rsidR="00803E5A" w:rsidTr="00D32A96">
        <w:trPr>
          <w:trHeight w:val="285"/>
        </w:trPr>
        <w:tc>
          <w:tcPr>
            <w:tcW w:w="1559" w:type="dxa"/>
            <w:tcBorders>
              <w:top w:val="single" w:sz="4" w:space="0" w:color="auto"/>
              <w:left w:val="single" w:sz="4" w:space="0" w:color="000000"/>
              <w:bottom w:val="single" w:sz="4" w:space="0" w:color="auto"/>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16</w:t>
            </w:r>
          </w:p>
        </w:tc>
        <w:tc>
          <w:tcPr>
            <w:tcW w:w="2127" w:type="dxa"/>
            <w:tcBorders>
              <w:top w:val="single" w:sz="4" w:space="0" w:color="auto"/>
              <w:left w:val="nil"/>
              <w:bottom w:val="single" w:sz="4" w:space="0" w:color="auto"/>
              <w:right w:val="single" w:sz="4" w:space="0" w:color="auto"/>
            </w:tcBorders>
            <w:noWrap/>
            <w:vAlign w:val="bottom"/>
            <w:hideMark/>
          </w:tcPr>
          <w:p w:rsidR="00803E5A" w:rsidRDefault="00803E5A" w:rsidP="00803E5A">
            <w:pPr>
              <w:jc w:val="right"/>
              <w:rPr>
                <w:rFonts w:ascii="Tahoma" w:hAnsi="Tahoma" w:cs="Tahoma"/>
              </w:rPr>
            </w:pPr>
            <w:r>
              <w:rPr>
                <w:rFonts w:ascii="Tahoma" w:hAnsi="Tahoma" w:cs="Tahoma"/>
              </w:rPr>
              <w:t xml:space="preserve">1 577,00   </w:t>
            </w:r>
          </w:p>
        </w:tc>
      </w:tr>
    </w:tbl>
    <w:p w:rsidR="00BB7A10" w:rsidRDefault="00BB7A10" w:rsidP="00BB7A10">
      <w:pPr>
        <w:spacing w:after="120"/>
        <w:ind w:left="426"/>
        <w:jc w:val="both"/>
        <w:rPr>
          <w:rFonts w:ascii="Tahoma" w:hAnsi="Tahoma" w:cs="Tahoma"/>
          <w:sz w:val="18"/>
          <w:szCs w:val="18"/>
        </w:rPr>
      </w:pP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Pr>
          <w:rFonts w:ascii="Tahoma" w:hAnsi="Tahoma" w:cs="Tahoma"/>
          <w:b/>
          <w:sz w:val="18"/>
          <w:szCs w:val="18"/>
        </w:rPr>
        <w:t>oryginału</w:t>
      </w:r>
      <w:r>
        <w:rPr>
          <w:rFonts w:ascii="Tahoma" w:hAnsi="Tahoma" w:cs="Tahoma"/>
          <w:sz w:val="18"/>
          <w:szCs w:val="18"/>
        </w:rPr>
        <w:t xml:space="preserve"> </w:t>
      </w:r>
      <w:r>
        <w:rPr>
          <w:rFonts w:ascii="Tahoma" w:hAnsi="Tahoma"/>
          <w:b/>
          <w:sz w:val="18"/>
        </w:rPr>
        <w:t xml:space="preserve">w postaci elektronicznej opatrzonej </w:t>
      </w:r>
      <w:r>
        <w:rPr>
          <w:rFonts w:ascii="Tahoma" w:hAnsi="Tahoma" w:cs="Tahoma"/>
          <w:b/>
          <w:sz w:val="18"/>
          <w:szCs w:val="18"/>
        </w:rPr>
        <w:t>kwalifikowanym podpisem elektronicznym</w:t>
      </w:r>
      <w:r>
        <w:rPr>
          <w:rFonts w:ascii="Tahoma" w:hAnsi="Tahoma"/>
          <w:b/>
          <w:sz w:val="18"/>
        </w:rPr>
        <w:t xml:space="preserve"> wraz ze składaną ofertą przetargową. </w:t>
      </w:r>
      <w:r>
        <w:rPr>
          <w:rFonts w:ascii="Tahoma" w:hAnsi="Tahoma" w:cs="Tahoma"/>
          <w:sz w:val="18"/>
          <w:szCs w:val="18"/>
        </w:rPr>
        <w:t xml:space="preserve"> </w:t>
      </w:r>
    </w:p>
    <w:p w:rsidR="00BB7A10" w:rsidRDefault="00BB7A10" w:rsidP="00BB7A10">
      <w:pPr>
        <w:ind w:left="567" w:hanging="567"/>
        <w:jc w:val="both"/>
        <w:rPr>
          <w:rFonts w:ascii="Tahoma" w:hAnsi="Tahoma" w:cs="Tahoma"/>
          <w:sz w:val="18"/>
          <w:szCs w:val="18"/>
        </w:rPr>
      </w:pPr>
      <w:r>
        <w:rPr>
          <w:rFonts w:ascii="Tahoma" w:hAnsi="Tahoma" w:cs="Tahoma"/>
          <w:sz w:val="18"/>
          <w:szCs w:val="18"/>
        </w:rPr>
        <w:lastRenderedPageBreak/>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Pr>
          <w:rFonts w:ascii="Tahoma" w:hAnsi="Tahoma" w:cs="Tahoma"/>
          <w:b/>
          <w:sz w:val="18"/>
          <w:szCs w:val="18"/>
        </w:rPr>
        <w:t>2</w:t>
      </w:r>
      <w:r w:rsidR="00803E5A">
        <w:rPr>
          <w:rFonts w:ascii="Tahoma" w:hAnsi="Tahoma" w:cs="Tahoma"/>
          <w:b/>
          <w:sz w:val="18"/>
          <w:szCs w:val="18"/>
        </w:rPr>
        <w:t>9</w:t>
      </w:r>
      <w:r>
        <w:rPr>
          <w:rFonts w:ascii="Tahoma" w:hAnsi="Tahoma" w:cs="Tahoma"/>
          <w:b/>
          <w:sz w:val="18"/>
          <w:szCs w:val="18"/>
        </w:rPr>
        <w:t>/ZP/2019”</w:t>
      </w:r>
    </w:p>
    <w:p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77446E" w:rsidRDefault="0077446E" w:rsidP="00864F31">
      <w:pPr>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 xml:space="preserve">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w:t>
      </w:r>
      <w:r w:rsidR="00331260" w:rsidRPr="00F9433F">
        <w:rPr>
          <w:rFonts w:ascii="Tahoma" w:hAnsi="Tahoma" w:cs="Tahoma"/>
          <w:sz w:val="18"/>
          <w:szCs w:val="18"/>
        </w:rPr>
        <w:lastRenderedPageBreak/>
        <w:t>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rsidR="00396A81" w:rsidRPr="008A4852"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4</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 xml:space="preserve">12.8.6. </w:t>
      </w:r>
      <w:r>
        <w:rPr>
          <w:rFonts w:ascii="Tahoma" w:hAnsi="Tahoma" w:cs="Tahoma"/>
          <w:sz w:val="18"/>
          <w:szCs w:val="18"/>
        </w:rPr>
        <w:t>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2"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w:t>
      </w:r>
      <w:r w:rsidRPr="00F9433F">
        <w:rPr>
          <w:rFonts w:ascii="Tahoma" w:hAnsi="Tahoma" w:cs="Tahoma"/>
          <w:bCs/>
          <w:sz w:val="18"/>
          <w:szCs w:val="18"/>
        </w:rPr>
        <w:lastRenderedPageBreak/>
        <w:t>protokołu udostępnia się po dokonaniu wyboru najkorzystniejszej oferty lub unieważnieniu postępowania z tym, że oferty są jawne od chwili ich otwarcia</w:t>
      </w:r>
      <w:bookmarkEnd w:id="2"/>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3"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3"/>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4"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4"/>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5"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5"/>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6"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6"/>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8C4971" w:rsidRPr="008C4971">
        <w:rPr>
          <w:rFonts w:ascii="Tahoma" w:hAnsi="Tahoma"/>
          <w:color w:val="0070C0"/>
          <w:sz w:val="18"/>
          <w:u w:val="single"/>
        </w:rPr>
        <w:t>2</w:t>
      </w:r>
      <w:r w:rsidR="008A4852">
        <w:rPr>
          <w:rFonts w:ascii="Tahoma" w:hAnsi="Tahoma"/>
          <w:color w:val="0070C0"/>
          <w:sz w:val="18"/>
          <w:u w:val="single"/>
        </w:rPr>
        <w:t>9</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F41CD1">
        <w:rPr>
          <w:rFonts w:ascii="Tahoma" w:hAnsi="Tahoma" w:cs="Tahoma"/>
          <w:b/>
          <w:color w:val="0070C0"/>
          <w:sz w:val="18"/>
          <w:szCs w:val="18"/>
        </w:rPr>
        <w:t>201</w:t>
      </w:r>
      <w:r w:rsidR="008B5EBC" w:rsidRPr="00F41CD1">
        <w:rPr>
          <w:rFonts w:ascii="Tahoma" w:hAnsi="Tahoma" w:cs="Tahoma"/>
          <w:b/>
          <w:color w:val="0070C0"/>
          <w:sz w:val="18"/>
          <w:szCs w:val="18"/>
        </w:rPr>
        <w:t>9</w:t>
      </w:r>
      <w:r w:rsidR="00CC28B8" w:rsidRPr="00F41CD1">
        <w:rPr>
          <w:rFonts w:ascii="Tahoma" w:hAnsi="Tahoma" w:cs="Tahoma"/>
          <w:b/>
          <w:color w:val="0070C0"/>
          <w:sz w:val="18"/>
          <w:szCs w:val="18"/>
        </w:rPr>
        <w:t>-0</w:t>
      </w:r>
      <w:r w:rsidR="0020590A" w:rsidRPr="00F41CD1">
        <w:rPr>
          <w:rFonts w:ascii="Tahoma" w:hAnsi="Tahoma" w:cs="Tahoma"/>
          <w:b/>
          <w:color w:val="0070C0"/>
          <w:sz w:val="18"/>
          <w:szCs w:val="18"/>
        </w:rPr>
        <w:t>7</w:t>
      </w:r>
      <w:r w:rsidR="00CC28B8" w:rsidRPr="00F41CD1">
        <w:rPr>
          <w:rFonts w:ascii="Tahoma" w:hAnsi="Tahoma" w:cs="Tahoma"/>
          <w:b/>
          <w:color w:val="0070C0"/>
          <w:sz w:val="18"/>
          <w:szCs w:val="18"/>
        </w:rPr>
        <w:t>-</w:t>
      </w:r>
      <w:r w:rsidR="00F41CD1" w:rsidRPr="00F41CD1">
        <w:rPr>
          <w:rFonts w:ascii="Tahoma" w:hAnsi="Tahoma" w:cs="Tahoma"/>
          <w:b/>
          <w:color w:val="0070C0"/>
          <w:sz w:val="18"/>
          <w:szCs w:val="18"/>
        </w:rPr>
        <w:t>26</w:t>
      </w:r>
      <w:r w:rsidR="00836E3D" w:rsidRPr="00F41CD1">
        <w:rPr>
          <w:rFonts w:ascii="Tahoma" w:hAnsi="Tahoma"/>
          <w:b/>
          <w:color w:val="0070C0"/>
          <w:sz w:val="18"/>
        </w:rPr>
        <w:t xml:space="preserve"> </w:t>
      </w:r>
      <w:r w:rsidR="00DB3E22" w:rsidRPr="00F41CD1">
        <w:rPr>
          <w:rFonts w:ascii="Tahoma" w:hAnsi="Tahoma"/>
          <w:b/>
          <w:color w:val="0070C0"/>
          <w:sz w:val="18"/>
        </w:rPr>
        <w:t>do godz. 12:00.</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lastRenderedPageBreak/>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F41CD1">
        <w:rPr>
          <w:rFonts w:ascii="Tahoma" w:hAnsi="Tahoma" w:cs="Tahoma"/>
          <w:b/>
          <w:color w:val="0070C0"/>
          <w:sz w:val="18"/>
          <w:szCs w:val="18"/>
        </w:rPr>
        <w:t xml:space="preserve">dnia </w:t>
      </w:r>
      <w:r w:rsidR="00CC28B8" w:rsidRPr="00F41CD1">
        <w:rPr>
          <w:rFonts w:ascii="Tahoma" w:hAnsi="Tahoma" w:cs="Tahoma"/>
          <w:b/>
          <w:color w:val="0070C0"/>
          <w:sz w:val="18"/>
          <w:szCs w:val="18"/>
        </w:rPr>
        <w:t>201</w:t>
      </w:r>
      <w:r w:rsidR="008B5EBC" w:rsidRPr="00F41CD1">
        <w:rPr>
          <w:rFonts w:ascii="Tahoma" w:hAnsi="Tahoma" w:cs="Tahoma"/>
          <w:b/>
          <w:color w:val="0070C0"/>
          <w:sz w:val="18"/>
          <w:szCs w:val="18"/>
        </w:rPr>
        <w:t>9</w:t>
      </w:r>
      <w:r w:rsidR="00CC28B8" w:rsidRPr="00F41CD1">
        <w:rPr>
          <w:rFonts w:ascii="Tahoma" w:hAnsi="Tahoma" w:cs="Tahoma"/>
          <w:b/>
          <w:color w:val="0070C0"/>
          <w:sz w:val="18"/>
          <w:szCs w:val="18"/>
        </w:rPr>
        <w:t>-0</w:t>
      </w:r>
      <w:r w:rsidR="0020590A" w:rsidRPr="00F41CD1">
        <w:rPr>
          <w:rFonts w:ascii="Tahoma" w:hAnsi="Tahoma" w:cs="Tahoma"/>
          <w:b/>
          <w:color w:val="0070C0"/>
          <w:sz w:val="18"/>
          <w:szCs w:val="18"/>
        </w:rPr>
        <w:t>7</w:t>
      </w:r>
      <w:r w:rsidR="00CC28B8" w:rsidRPr="00F41CD1">
        <w:rPr>
          <w:rFonts w:ascii="Tahoma" w:hAnsi="Tahoma" w:cs="Tahoma"/>
          <w:b/>
          <w:color w:val="0070C0"/>
          <w:sz w:val="18"/>
          <w:szCs w:val="18"/>
        </w:rPr>
        <w:t>-</w:t>
      </w:r>
      <w:r w:rsidR="00F41CD1" w:rsidRPr="00F41CD1">
        <w:rPr>
          <w:rFonts w:ascii="Tahoma" w:hAnsi="Tahoma" w:cs="Tahoma"/>
          <w:b/>
          <w:color w:val="0070C0"/>
          <w:sz w:val="18"/>
          <w:szCs w:val="18"/>
        </w:rPr>
        <w:t>26</w:t>
      </w:r>
      <w:r w:rsidR="00E802FF" w:rsidRPr="00F41CD1">
        <w:rPr>
          <w:rFonts w:ascii="Tahoma" w:hAnsi="Tahoma"/>
          <w:b/>
          <w:color w:val="0070C0"/>
          <w:sz w:val="18"/>
        </w:rPr>
        <w:t xml:space="preserve"> </w:t>
      </w:r>
      <w:r w:rsidR="00487430" w:rsidRPr="00F41CD1">
        <w:rPr>
          <w:rFonts w:ascii="Tahoma" w:hAnsi="Tahoma" w:cs="Tahoma"/>
          <w:b/>
          <w:color w:val="0070C0"/>
          <w:sz w:val="18"/>
          <w:szCs w:val="18"/>
        </w:rPr>
        <w:t xml:space="preserve">o godz. </w:t>
      </w:r>
      <w:r w:rsidR="00B34484" w:rsidRPr="00F41CD1">
        <w:rPr>
          <w:rFonts w:ascii="Tahoma" w:hAnsi="Tahoma" w:cs="Tahoma"/>
          <w:b/>
          <w:color w:val="0070C0"/>
          <w:sz w:val="18"/>
          <w:szCs w:val="18"/>
        </w:rPr>
        <w:t>12</w:t>
      </w:r>
      <w:r w:rsidR="00487430" w:rsidRPr="00F41CD1">
        <w:rPr>
          <w:rFonts w:ascii="Tahoma" w:hAnsi="Tahoma" w:cs="Tahoma"/>
          <w:b/>
          <w:color w:val="0070C0"/>
          <w:sz w:val="18"/>
          <w:szCs w:val="18"/>
        </w:rPr>
        <w:t>:30</w:t>
      </w:r>
      <w:r w:rsidR="00487430" w:rsidRPr="00F41CD1">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rsidR="00741F9D" w:rsidRDefault="00741F9D" w:rsidP="00741F9D">
      <w:pPr>
        <w:ind w:left="426"/>
        <w:jc w:val="both"/>
        <w:outlineLvl w:val="0"/>
        <w:rPr>
          <w:rFonts w:ascii="Tahoma" w:hAnsi="Tahoma" w:cs="Tahoma"/>
          <w:b/>
          <w:sz w:val="18"/>
          <w:szCs w:val="18"/>
        </w:rPr>
      </w:pPr>
    </w:p>
    <w:p w:rsidR="0020590A" w:rsidRDefault="0020590A" w:rsidP="0020590A">
      <w:pPr>
        <w:ind w:left="284"/>
        <w:jc w:val="both"/>
        <w:rPr>
          <w:rFonts w:ascii="Tahoma" w:hAnsi="Tahoma"/>
          <w:b/>
          <w:sz w:val="18"/>
        </w:rPr>
      </w:pPr>
      <w:bookmarkStart w:id="7"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20590A" w:rsidRDefault="0020590A" w:rsidP="0020590A">
      <w:pPr>
        <w:ind w:left="284"/>
        <w:jc w:val="both"/>
        <w:rPr>
          <w:rFonts w:ascii="Tahoma" w:hAnsi="Tahoma"/>
          <w:b/>
          <w:sz w:val="18"/>
        </w:rPr>
      </w:pPr>
      <w:r>
        <w:rPr>
          <w:rFonts w:ascii="Tahoma" w:hAnsi="Tahoma"/>
          <w:b/>
          <w:sz w:val="18"/>
        </w:rPr>
        <w:t>50 dni – 0 pkt.</w:t>
      </w:r>
    </w:p>
    <w:p w:rsidR="0020590A" w:rsidRDefault="0020590A" w:rsidP="0020590A">
      <w:pPr>
        <w:ind w:left="284"/>
        <w:jc w:val="both"/>
        <w:rPr>
          <w:rFonts w:ascii="Tahoma" w:hAnsi="Tahoma"/>
          <w:b/>
          <w:sz w:val="18"/>
        </w:rPr>
      </w:pPr>
      <w:r>
        <w:rPr>
          <w:rFonts w:ascii="Tahoma" w:hAnsi="Tahoma"/>
          <w:b/>
          <w:sz w:val="18"/>
        </w:rPr>
        <w:t>55 dni – 20 pkt.</w:t>
      </w:r>
    </w:p>
    <w:p w:rsidR="0020590A" w:rsidRDefault="0020590A" w:rsidP="0020590A">
      <w:pPr>
        <w:ind w:left="284"/>
        <w:jc w:val="both"/>
        <w:rPr>
          <w:rFonts w:ascii="Tahoma" w:hAnsi="Tahoma"/>
          <w:b/>
          <w:sz w:val="18"/>
        </w:rPr>
      </w:pPr>
      <w:r>
        <w:rPr>
          <w:rFonts w:ascii="Tahoma" w:hAnsi="Tahoma"/>
          <w:b/>
          <w:sz w:val="18"/>
        </w:rPr>
        <w:t>60 dni – 40 pkt.</w:t>
      </w:r>
    </w:p>
    <w:p w:rsidR="0020590A" w:rsidRDefault="0020590A" w:rsidP="0020590A">
      <w:pPr>
        <w:ind w:left="284"/>
        <w:jc w:val="both"/>
        <w:rPr>
          <w:rFonts w:ascii="Tahoma" w:hAnsi="Tahoma"/>
          <w:b/>
          <w:sz w:val="18"/>
        </w:rPr>
      </w:pPr>
      <w:r>
        <w:rPr>
          <w:rFonts w:ascii="Tahoma" w:hAnsi="Tahoma"/>
          <w:b/>
          <w:sz w:val="18"/>
        </w:rPr>
        <w:t>Zamawiający przyjmuje, iż każdy z Wykonawców składających ofertę proponuje minimalny termin płatności 5</w:t>
      </w:r>
      <w:bookmarkStart w:id="8" w:name="_GoBack"/>
      <w:bookmarkEnd w:id="8"/>
      <w:r>
        <w:rPr>
          <w:rFonts w:ascii="Tahoma" w:hAnsi="Tahoma"/>
          <w:b/>
          <w:sz w:val="18"/>
        </w:rPr>
        <w:t xml:space="preserve">0 dni. </w:t>
      </w:r>
    </w:p>
    <w:p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7"/>
      <w:r>
        <w:rPr>
          <w:rFonts w:ascii="Tahoma" w:hAnsi="Tahoma"/>
          <w:b/>
          <w:sz w:val="18"/>
          <w:u w:val="single"/>
        </w:rPr>
        <w:t>.</w:t>
      </w:r>
    </w:p>
    <w:p w:rsidR="00741F9D" w:rsidRDefault="00741F9D" w:rsidP="00741F9D">
      <w:pPr>
        <w:ind w:left="426"/>
        <w:jc w:val="both"/>
        <w:rPr>
          <w:rFonts w:ascii="Tahoma" w:hAnsi="Tahoma" w:cs="Tahoma"/>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lastRenderedPageBreak/>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w:t>
      </w:r>
      <w:r w:rsidR="007445CC">
        <w:rPr>
          <w:rFonts w:ascii="Tahoma" w:hAnsi="Tahoma" w:cs="Tahoma"/>
          <w:b/>
          <w:sz w:val="18"/>
          <w:szCs w:val="18"/>
        </w:rPr>
        <w:t xml:space="preserve"> 9.1</w:t>
      </w:r>
      <w:r w:rsidR="00C16CB7">
        <w:rPr>
          <w:rFonts w:ascii="Tahoma" w:hAnsi="Tahoma" w:cs="Tahoma"/>
          <w:b/>
          <w:sz w:val="18"/>
          <w:szCs w:val="18"/>
        </w:rPr>
        <w:t>, 9.2</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5"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6"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8A4852" w:rsidRPr="008E7EF3">
        <w:rPr>
          <w:rFonts w:ascii="Tahoma" w:hAnsi="Tahoma" w:cs="Tahoma"/>
          <w:b/>
          <w:color w:val="0070C0"/>
          <w:sz w:val="18"/>
          <w:szCs w:val="18"/>
        </w:rPr>
        <w:t xml:space="preserve">Sukcesywne dostawy </w:t>
      </w:r>
      <w:bookmarkStart w:id="9" w:name="_Hlk13737297"/>
      <w:r w:rsidR="008A4852" w:rsidRPr="008E7EF3">
        <w:rPr>
          <w:rFonts w:ascii="Tahoma" w:hAnsi="Tahoma" w:cs="Tahoma"/>
          <w:b/>
          <w:color w:val="0070C0"/>
          <w:sz w:val="18"/>
          <w:szCs w:val="18"/>
        </w:rPr>
        <w:t>chemii profesjonalnej i gospodarczej, środków do mycia i dezynfekcji, środków piorących, wskaźników biologicznych i testów wskaźników do sterylizacji parą wodną oraz innych preparatów i materiałów do dezynfekcji</w:t>
      </w:r>
      <w:bookmarkEnd w:id="9"/>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8A4852">
        <w:rPr>
          <w:rFonts w:ascii="Tahoma" w:hAnsi="Tahoma" w:cs="Tahoma"/>
          <w:b/>
          <w:bCs/>
          <w:sz w:val="18"/>
          <w:szCs w:val="18"/>
        </w:rPr>
        <w:t>29</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7"/>
      <w:footerReference w:type="even" r:id="rId18"/>
      <w:footerReference w:type="default" r:id="rId19"/>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DE" w:rsidRDefault="00083BDE">
      <w:r>
        <w:separator/>
      </w:r>
    </w:p>
  </w:endnote>
  <w:endnote w:type="continuationSeparator" w:id="0">
    <w:p w:rsidR="00083BDE" w:rsidRDefault="0008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DE" w:rsidRDefault="00083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83BDE" w:rsidRDefault="00083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DE" w:rsidRPr="003B7A9F" w:rsidRDefault="00083BDE">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083BDE" w:rsidRDefault="00083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DE" w:rsidRDefault="00083BDE">
      <w:r>
        <w:separator/>
      </w:r>
    </w:p>
  </w:footnote>
  <w:footnote w:type="continuationSeparator" w:id="0">
    <w:p w:rsidR="00083BDE" w:rsidRDefault="0008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DE" w:rsidRPr="00CD3493" w:rsidRDefault="00083BDE">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29</w:t>
    </w:r>
    <w:r w:rsidRPr="00CD3493">
      <w:rPr>
        <w:rFonts w:ascii="Tahoma" w:hAnsi="Tahoma" w:cs="Tahoma"/>
        <w:sz w:val="18"/>
        <w:szCs w:val="18"/>
      </w:rPr>
      <w:t>/ZP/201</w:t>
    </w:r>
    <w:r>
      <w:rPr>
        <w:rFonts w:ascii="Tahoma" w:hAnsi="Tahoma" w:cs="Tahoma"/>
        <w:sz w:val="18"/>
        <w:szCs w:val="18"/>
      </w:rPr>
      <w:t>9</w:t>
    </w:r>
  </w:p>
  <w:p w:rsidR="00083BDE" w:rsidRDefault="00083BDE">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7"/>
  </w:num>
  <w:num w:numId="19">
    <w:abstractNumId w:val="8"/>
  </w:num>
  <w:num w:numId="20">
    <w:abstractNumId w:val="20"/>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C6D"/>
    <w:rsid w:val="002219F4"/>
    <w:rsid w:val="00222C8F"/>
    <w:rsid w:val="00225267"/>
    <w:rsid w:val="002256C6"/>
    <w:rsid w:val="00225D81"/>
    <w:rsid w:val="00225E6F"/>
    <w:rsid w:val="00226C0F"/>
    <w:rsid w:val="00230043"/>
    <w:rsid w:val="002309C4"/>
    <w:rsid w:val="00235BFE"/>
    <w:rsid w:val="0024234A"/>
    <w:rsid w:val="00242A60"/>
    <w:rsid w:val="0024409C"/>
    <w:rsid w:val="00250C3C"/>
    <w:rsid w:val="00251E17"/>
    <w:rsid w:val="00251F70"/>
    <w:rsid w:val="00253968"/>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971"/>
    <w:rsid w:val="008C49DF"/>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58BE"/>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45CBA03"/>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opatrzenie@spzoz.zgorzele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pzoz.zgorzele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10" Type="http://schemas.openxmlformats.org/officeDocument/2006/relationships/hyperlink" Target="mailto:r.jablonski@spzoz.zgorzelec.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r.jablonski@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6E7D-32B8-4696-96F6-C3E8826E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16</Pages>
  <Words>8657</Words>
  <Characters>56976</Characters>
  <Application>Microsoft Office Word</Application>
  <DocSecurity>0</DocSecurity>
  <Lines>474</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65502</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21</cp:revision>
  <cp:lastPrinted>2019-07-12T08:32:00Z</cp:lastPrinted>
  <dcterms:created xsi:type="dcterms:W3CDTF">2019-04-04T08:21:00Z</dcterms:created>
  <dcterms:modified xsi:type="dcterms:W3CDTF">2019-07-12T09:09:00Z</dcterms:modified>
</cp:coreProperties>
</file>