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Sukcesywne dostawy artykułów spożywczych.</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(złożyć  wypełniony)</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9E643E" w:rsidRDefault="009E643E" w:rsidP="00307762">
      <w:pPr>
        <w:tabs>
          <w:tab w:val="left" w:pos="360"/>
          <w:tab w:val="left" w:pos="993"/>
        </w:tabs>
        <w:suppressAutoHyphens/>
        <w:rPr>
          <w:rFonts w:ascii="Tahoma" w:hAnsi="Tahoma"/>
          <w:sz w:val="18"/>
          <w:szCs w:val="18"/>
        </w:rPr>
      </w:pPr>
      <w:r w:rsidRPr="009E643E">
        <w:rPr>
          <w:rFonts w:ascii="Tahoma" w:hAnsi="Tahoma"/>
          <w:sz w:val="18"/>
          <w:szCs w:val="18"/>
        </w:rPr>
        <w:t>3.    Opisz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ciągu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stronach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internetowych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4F58A5" w:rsidRPr="008C4971"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umowy</w:t>
      </w:r>
      <w:r w:rsidR="001C0CAA" w:rsidRPr="008C4971">
        <w:rPr>
          <w:rFonts w:ascii="Tahoma" w:hAnsi="Tahoma"/>
          <w:sz w:val="18"/>
          <w:szCs w:val="18"/>
        </w:rPr>
        <w:t xml:space="preserve">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60467A"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0497E" w:rsidRPr="00C92B5D">
        <w:rPr>
          <w:rFonts w:ascii="Tahoma" w:hAnsi="Tahoma" w:cs="Tahoma"/>
          <w:sz w:val="18"/>
          <w:szCs w:val="18"/>
        </w:rPr>
        <w:t>Każdy Wykonawca może złożyć tylko jedną ofertę w formie pisemnej pod rygorem nieważności. W przypadku złożenia przez Wykonawcę więcej niż jednej oferty</w:t>
      </w:r>
      <w:r w:rsidR="00084146">
        <w:rPr>
          <w:rFonts w:ascii="Tahoma" w:hAnsi="Tahoma" w:cs="Tahoma"/>
          <w:sz w:val="18"/>
          <w:szCs w:val="18"/>
        </w:rPr>
        <w:t>,</w:t>
      </w:r>
      <w:r w:rsidR="0080497E" w:rsidRPr="00C92B5D">
        <w:rPr>
          <w:rFonts w:ascii="Tahoma" w:hAnsi="Tahoma" w:cs="Tahoma"/>
          <w:sz w:val="18"/>
          <w:szCs w:val="18"/>
        </w:rPr>
        <w:t xml:space="preserve"> wszystkie oferty tego Wykonawcy zostaną odrzucone przez Zamawiającego.</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9E643E">
        <w:rPr>
          <w:rFonts w:ascii="Tahoma" w:hAnsi="Tahoma" w:cs="Tahoma"/>
          <w:b/>
          <w:color w:val="0070C0"/>
          <w:sz w:val="18"/>
          <w:szCs w:val="18"/>
        </w:rPr>
        <w:t xml:space="preserve">Sukcesywne dostawy artykułów spożywczych.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 SIWZ - </w:t>
      </w:r>
      <w:r w:rsidR="009E643E">
        <w:rPr>
          <w:rFonts w:ascii="Tahoma" w:hAnsi="Tahoma" w:cs="Tahoma"/>
          <w:sz w:val="18"/>
          <w:szCs w:val="18"/>
        </w:rPr>
        <w:t xml:space="preserve"> Formularz cenowy </w:t>
      </w:r>
      <w:r w:rsidR="00AA1E67">
        <w:rPr>
          <w:rFonts w:ascii="Tahoma" w:hAnsi="Tahoma" w:cs="Tahoma"/>
          <w:sz w:val="18"/>
          <w:szCs w:val="18"/>
        </w:rPr>
        <w:t xml:space="preserve">oraz załącznik nr </w:t>
      </w:r>
      <w:r w:rsidR="009E643E">
        <w:rPr>
          <w:rFonts w:ascii="Tahoma" w:hAnsi="Tahoma" w:cs="Tahoma"/>
          <w:sz w:val="18"/>
          <w:szCs w:val="18"/>
        </w:rPr>
        <w:t xml:space="preserve"> 3 </w:t>
      </w:r>
      <w:r w:rsidR="00AA1E67">
        <w:rPr>
          <w:rFonts w:ascii="Tahoma" w:hAnsi="Tahoma" w:cs="Tahoma"/>
          <w:sz w:val="18"/>
          <w:szCs w:val="18"/>
        </w:rPr>
        <w:t xml:space="preserve">SIWZ - </w:t>
      </w:r>
      <w:r w:rsidR="009E643E">
        <w:rPr>
          <w:rFonts w:ascii="Tahoma" w:hAnsi="Tahoma" w:cs="Tahoma"/>
          <w:sz w:val="18"/>
          <w:szCs w:val="18"/>
        </w:rPr>
        <w:t>Opis przedmiotu zamówienia</w:t>
      </w:r>
      <w:r w:rsidR="00AA1E67">
        <w:rPr>
          <w:rFonts w:ascii="Tahoma" w:hAnsi="Tahoma" w:cs="Tahoma"/>
          <w:sz w:val="18"/>
          <w:szCs w:val="18"/>
        </w:rPr>
        <w:t>.</w:t>
      </w:r>
      <w:r w:rsidR="009E643E">
        <w:rPr>
          <w:rFonts w:ascii="Tahoma" w:hAnsi="Tahoma" w:cs="Tahoma"/>
          <w:sz w:val="18"/>
          <w:szCs w:val="18"/>
        </w:rPr>
        <w:t xml:space="preserve"> </w:t>
      </w:r>
    </w:p>
    <w:p w:rsidR="00132A5B" w:rsidRDefault="00132A5B" w:rsidP="00132A5B">
      <w:pPr>
        <w:tabs>
          <w:tab w:val="left" w:pos="1942"/>
        </w:tabs>
        <w:spacing w:line="276" w:lineRule="auto"/>
        <w:jc w:val="both"/>
        <w:rPr>
          <w:rFonts w:ascii="Tahoma" w:hAnsi="Tahoma"/>
          <w:b/>
          <w:bCs/>
          <w:sz w:val="10"/>
          <w:szCs w:val="10"/>
        </w:rPr>
      </w:pPr>
    </w:p>
    <w:p w:rsidR="00132A5B" w:rsidRDefault="00132A5B" w:rsidP="00132A5B">
      <w:pPr>
        <w:tabs>
          <w:tab w:val="left" w:pos="1942"/>
        </w:tabs>
        <w:spacing w:line="276" w:lineRule="auto"/>
        <w:jc w:val="both"/>
        <w:rPr>
          <w:rFonts w:ascii="Tahoma" w:hAnsi="Tahoma"/>
          <w:b/>
          <w:bCs/>
          <w:sz w:val="18"/>
        </w:rPr>
      </w:pPr>
      <w:r>
        <w:rPr>
          <w:rFonts w:ascii="Tahoma" w:hAnsi="Tahoma"/>
          <w:b/>
          <w:bCs/>
          <w:sz w:val="18"/>
        </w:rPr>
        <w:t>3.2. Kod CPV:</w:t>
      </w:r>
      <w:r w:rsidR="00EF1AAC">
        <w:rPr>
          <w:rFonts w:ascii="Tahoma" w:hAnsi="Tahoma"/>
          <w:b/>
          <w:bCs/>
          <w:sz w:val="18"/>
        </w:rPr>
        <w:t xml:space="preserve"> </w:t>
      </w:r>
      <w:r w:rsidR="00EF1AAC">
        <w:rPr>
          <w:rFonts w:ascii="Tahoma" w:hAnsi="Tahoma" w:cs="Tahoma"/>
          <w:sz w:val="18"/>
          <w:szCs w:val="18"/>
        </w:rPr>
        <w:t>15.00.00.00-8 - Żywność, napoje, tytoń i produkty pokrewne</w:t>
      </w:r>
      <w:r>
        <w:rPr>
          <w:rFonts w:ascii="Tahoma" w:hAnsi="Tahoma"/>
          <w:b/>
          <w:bCs/>
          <w:sz w:val="18"/>
        </w:rPr>
        <w:tab/>
      </w:r>
    </w:p>
    <w:p w:rsidR="00EF1AAC" w:rsidRDefault="00EF1AAC" w:rsidP="00132A5B">
      <w:pPr>
        <w:tabs>
          <w:tab w:val="num" w:pos="284"/>
        </w:tabs>
        <w:spacing w:line="276" w:lineRule="auto"/>
        <w:ind w:left="284" w:hanging="426"/>
        <w:jc w:val="both"/>
        <w:rPr>
          <w:rFonts w:ascii="Tahoma" w:hAnsi="Tahoma" w:cs="Tahoma"/>
          <w:sz w:val="18"/>
          <w:szCs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EF1AAC" w:rsidRPr="00EF1AAC">
        <w:rPr>
          <w:rFonts w:ascii="Tahoma" w:hAnsi="Tahoma" w:cs="Tahoma"/>
          <w:b/>
          <w:color w:val="0070C0"/>
          <w:sz w:val="18"/>
          <w:szCs w:val="18"/>
        </w:rPr>
        <w:t>12 miesięcy od daty zawarcia umowy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EF1AAC">
        <w:rPr>
          <w:rFonts w:ascii="Tahoma" w:hAnsi="Tahoma" w:cs="Tahoma"/>
          <w:sz w:val="18"/>
          <w:szCs w:val="18"/>
        </w:rPr>
        <w:t>Wykonawca będzie dostarczał na własny koszt artykuły spożywcze do następujących punktów na terenie miasta Zgorzelca:</w:t>
      </w:r>
    </w:p>
    <w:p w:rsidR="00EF1AAC" w:rsidRDefault="00EF1AAC" w:rsidP="00EF1AAC">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rsidR="00EF1AAC" w:rsidRDefault="00EF1AAC" w:rsidP="00EF1AAC">
      <w:pPr>
        <w:tabs>
          <w:tab w:val="num" w:pos="851"/>
        </w:tabs>
        <w:spacing w:line="276" w:lineRule="auto"/>
        <w:ind w:left="851" w:hanging="284"/>
        <w:jc w:val="both"/>
        <w:rPr>
          <w:rFonts w:ascii="Tahoma" w:hAnsi="Tahoma" w:cs="Tahoma"/>
          <w:sz w:val="18"/>
          <w:szCs w:val="18"/>
        </w:rPr>
      </w:pPr>
      <w:r>
        <w:rPr>
          <w:rFonts w:ascii="Tahoma" w:hAnsi="Tahoma" w:cs="Tahoma"/>
          <w:sz w:val="18"/>
          <w:szCs w:val="18"/>
        </w:rPr>
        <w:t>b) Zakład Opiekuńczo-Leczniczy- Kuchnia - w Zgorzelcu ul. Nadbrzeżna 5a,</w:t>
      </w:r>
    </w:p>
    <w:p w:rsidR="00EF1AAC" w:rsidRDefault="00EF1AAC" w:rsidP="00EF1AAC">
      <w:pPr>
        <w:tabs>
          <w:tab w:val="num" w:pos="851"/>
        </w:tabs>
        <w:spacing w:line="276" w:lineRule="auto"/>
        <w:ind w:left="851" w:hanging="284"/>
        <w:jc w:val="both"/>
        <w:rPr>
          <w:rFonts w:ascii="Tahoma" w:hAnsi="Tahoma" w:cs="Tahoma"/>
          <w:sz w:val="18"/>
          <w:szCs w:val="18"/>
        </w:rPr>
      </w:pPr>
      <w:r>
        <w:rPr>
          <w:rFonts w:ascii="Tahoma" w:hAnsi="Tahoma" w:cs="Tahoma"/>
          <w:sz w:val="18"/>
          <w:szCs w:val="18"/>
        </w:rPr>
        <w:t>c) Oddział Rehabilitacji – Kuchnia – Zgorzelec, ul. Konarskiego 5b.</w:t>
      </w:r>
    </w:p>
    <w:p w:rsidR="006473FD" w:rsidRDefault="006473FD" w:rsidP="006473FD">
      <w:pPr>
        <w:spacing w:line="276" w:lineRule="auto"/>
        <w:ind w:left="720"/>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EF1AAC">
        <w:rPr>
          <w:rFonts w:ascii="Tahoma" w:hAnsi="Tahoma" w:cs="Tahoma"/>
          <w:sz w:val="18"/>
          <w:szCs w:val="18"/>
        </w:rPr>
        <w:t>Towary pozostawione poza wskazanym przez Zamawiającego magazynem uważa się za dostarczone niezgodnie z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F1AAC"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EF1AAC">
        <w:rPr>
          <w:rFonts w:ascii="Tahoma" w:hAnsi="Tahoma" w:cs="Tahoma"/>
          <w:sz w:val="18"/>
          <w:szCs w:val="18"/>
        </w:rPr>
        <w:t>Dostawy artykułów spożywczych będą następować sukcesywnie, w okresie trwania umowy.</w:t>
      </w:r>
    </w:p>
    <w:p w:rsidR="00EF1AAC" w:rsidRDefault="00EF1AAC" w:rsidP="006473FD">
      <w:pPr>
        <w:tabs>
          <w:tab w:val="num" w:pos="284"/>
        </w:tabs>
        <w:spacing w:line="276" w:lineRule="auto"/>
        <w:ind w:left="284" w:hanging="284"/>
        <w:jc w:val="both"/>
        <w:rPr>
          <w:rFonts w:ascii="Tahoma" w:hAnsi="Tahoma" w:cs="Tahoma"/>
          <w:sz w:val="18"/>
          <w:szCs w:val="18"/>
        </w:rPr>
      </w:pPr>
    </w:p>
    <w:p w:rsidR="00EF1AAC"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4.5. Poszczególne zamówienia będą dostarczane w terminie 2 dni licząc od dnia złożenia zamówienia faksem, telefonicznie lub drogą elektroniczną. Zamówienie złożone w piątek realizowane będzie w poniedziałek.</w:t>
      </w:r>
    </w:p>
    <w:p w:rsidR="00EF1AAC" w:rsidRDefault="00EF1AAC" w:rsidP="006473FD">
      <w:pPr>
        <w:tabs>
          <w:tab w:val="num" w:pos="284"/>
        </w:tabs>
        <w:spacing w:line="276" w:lineRule="auto"/>
        <w:ind w:left="284" w:hanging="284"/>
        <w:jc w:val="both"/>
        <w:rPr>
          <w:rFonts w:ascii="Tahoma" w:hAnsi="Tahoma" w:cs="Tahoma"/>
          <w:sz w:val="18"/>
          <w:szCs w:val="18"/>
        </w:rPr>
      </w:pPr>
    </w:p>
    <w:p w:rsidR="00EF1AAC"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4.6. W przypadku braku asortymentu umieszczonego w załączniku nr 1 „Formularz cenowy”, Wykonawca zobowiązuje się do zapewnienia odpowiednika w cenach przetargowych, po uprzednim uzgodnieniu dostawy odpowiednika z Zamawiającym.  W takim przypadku cena jednostkowa będzie przeliczana proporcjonalnie do gramatury odpowiednika dostarczonego przez Wykonawcę.</w:t>
      </w:r>
    </w:p>
    <w:p w:rsidR="00036BC8" w:rsidRDefault="00036BC8"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4.7. Wykonawca będzie informował Zamawiającego o zmianach w realizacji zamówienia (zmiany zamówionych ilości i ustalonych terminów) pisemnie – nie później niż w dniu upłynięcia terminu realizacji.</w:t>
      </w:r>
    </w:p>
    <w:p w:rsidR="00036BC8" w:rsidRDefault="00036BC8"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4.8. Dostawy będą realizowane z użyciem windy załadowczej oraz </w:t>
      </w:r>
      <w:proofErr w:type="spellStart"/>
      <w:r>
        <w:rPr>
          <w:rFonts w:ascii="Tahoma" w:hAnsi="Tahoma" w:cs="Tahoma"/>
          <w:sz w:val="18"/>
          <w:szCs w:val="18"/>
        </w:rPr>
        <w:t>paleciaka</w:t>
      </w:r>
      <w:proofErr w:type="spellEnd"/>
      <w:r>
        <w:rPr>
          <w:rFonts w:ascii="Tahoma" w:hAnsi="Tahoma" w:cs="Tahoma"/>
          <w:sz w:val="18"/>
          <w:szCs w:val="18"/>
        </w:rPr>
        <w:t>.</w:t>
      </w:r>
    </w:p>
    <w:p w:rsidR="00EF1AAC" w:rsidRDefault="00EF1AAC"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rPr>
        <w:t xml:space="preserve">4.9. </w:t>
      </w:r>
      <w:r>
        <w:rPr>
          <w:rFonts w:ascii="Tahoma" w:hAnsi="Tahoma" w:cs="Tahoma"/>
          <w:sz w:val="18"/>
          <w:szCs w:val="18"/>
        </w:rPr>
        <w:t>Dostawy będą realizowane jeden raz w tygodniu w dniach od poniedziałku do piątku od 6</w:t>
      </w:r>
      <w:r>
        <w:rPr>
          <w:rFonts w:ascii="Tahoma" w:hAnsi="Tahoma" w:cs="Tahoma"/>
          <w:sz w:val="18"/>
          <w:szCs w:val="18"/>
          <w:vertAlign w:val="superscript"/>
        </w:rPr>
        <w:t>00</w:t>
      </w:r>
      <w:r>
        <w:rPr>
          <w:rFonts w:ascii="Tahoma" w:hAnsi="Tahoma" w:cs="Tahoma"/>
          <w:sz w:val="18"/>
          <w:szCs w:val="18"/>
        </w:rPr>
        <w:t xml:space="preserve"> do 7</w:t>
      </w:r>
      <w:r>
        <w:rPr>
          <w:rFonts w:ascii="Tahoma" w:hAnsi="Tahoma" w:cs="Tahoma"/>
          <w:sz w:val="18"/>
          <w:szCs w:val="18"/>
          <w:vertAlign w:val="superscript"/>
        </w:rPr>
        <w:t>00</w:t>
      </w:r>
      <w:r>
        <w:rPr>
          <w:rFonts w:ascii="Tahoma" w:hAnsi="Tahoma" w:cs="Tahoma"/>
          <w:sz w:val="18"/>
          <w:szCs w:val="18"/>
        </w:rPr>
        <w:t xml:space="preserve"> rano.</w:t>
      </w:r>
    </w:p>
    <w:p w:rsidR="00036BC8" w:rsidRDefault="00036BC8" w:rsidP="006473FD">
      <w:pPr>
        <w:tabs>
          <w:tab w:val="num" w:pos="284"/>
        </w:tabs>
        <w:spacing w:line="276" w:lineRule="auto"/>
        <w:ind w:left="284" w:hanging="284"/>
        <w:jc w:val="both"/>
        <w:rPr>
          <w:rFonts w:ascii="Tahoma" w:hAnsi="Tahoma" w:cs="Tahoma"/>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rPr>
        <w:t xml:space="preserve">4.10 </w:t>
      </w:r>
      <w:r>
        <w:rPr>
          <w:rFonts w:ascii="Tahoma" w:hAnsi="Tahoma" w:cs="Tahoma"/>
          <w:sz w:val="18"/>
          <w:szCs w:val="18"/>
        </w:rPr>
        <w:t xml:space="preserve">Zamawiający zobowiązuje się do zapłaty należności w terminie </w:t>
      </w:r>
      <w:r w:rsidR="0020590A">
        <w:rPr>
          <w:rFonts w:ascii="Tahoma" w:hAnsi="Tahoma" w:cs="Tahoma"/>
          <w:sz w:val="18"/>
          <w:szCs w:val="18"/>
        </w:rPr>
        <w:t>____</w:t>
      </w:r>
      <w:r>
        <w:rPr>
          <w:rFonts w:ascii="Tahoma" w:hAnsi="Tahoma" w:cs="Tahoma"/>
          <w:sz w:val="18"/>
          <w:szCs w:val="18"/>
        </w:rPr>
        <w:t xml:space="preserve"> dni</w:t>
      </w:r>
      <w:r w:rsidR="0020590A">
        <w:rPr>
          <w:rFonts w:ascii="Tahoma" w:hAnsi="Tahoma" w:cs="Tahoma"/>
          <w:sz w:val="18"/>
          <w:szCs w:val="18"/>
        </w:rPr>
        <w:t xml:space="preserve"> (kryterium oceny ofert)</w:t>
      </w:r>
      <w:r>
        <w:rPr>
          <w:rFonts w:ascii="Tahoma" w:hAnsi="Tahoma" w:cs="Tahoma"/>
          <w:b/>
          <w:i/>
          <w:sz w:val="18"/>
          <w:szCs w:val="18"/>
        </w:rPr>
        <w:t xml:space="preserve"> </w:t>
      </w:r>
      <w:r>
        <w:rPr>
          <w:rFonts w:ascii="Tahoma" w:hAnsi="Tahoma" w:cs="Tahoma"/>
          <w:sz w:val="18"/>
          <w:szCs w:val="18"/>
        </w:rPr>
        <w:t xml:space="preserve"> licząc od daty </w:t>
      </w:r>
      <w:r w:rsidR="0020590A">
        <w:rPr>
          <w:rFonts w:ascii="Tahoma" w:hAnsi="Tahoma" w:cs="Tahoma"/>
          <w:sz w:val="18"/>
          <w:szCs w:val="18"/>
        </w:rPr>
        <w:t xml:space="preserve">prawidłowo </w:t>
      </w:r>
      <w:r>
        <w:rPr>
          <w:rFonts w:ascii="Tahoma" w:hAnsi="Tahoma" w:cs="Tahoma"/>
          <w:sz w:val="18"/>
          <w:szCs w:val="18"/>
        </w:rPr>
        <w:t>wystawi</w:t>
      </w:r>
      <w:r w:rsidR="0020590A">
        <w:rPr>
          <w:rFonts w:ascii="Tahoma" w:hAnsi="Tahoma" w:cs="Tahoma"/>
          <w:sz w:val="18"/>
          <w:szCs w:val="18"/>
        </w:rPr>
        <w:t>onej</w:t>
      </w:r>
      <w:r>
        <w:rPr>
          <w:rFonts w:ascii="Tahoma" w:hAnsi="Tahoma" w:cs="Tahoma"/>
          <w:sz w:val="18"/>
          <w:szCs w:val="18"/>
        </w:rPr>
        <w:t xml:space="preserve"> faktury VAT</w:t>
      </w:r>
      <w:r w:rsidR="0020590A">
        <w:rPr>
          <w:rFonts w:ascii="Tahoma" w:hAnsi="Tahoma" w:cs="Tahoma"/>
          <w:sz w:val="18"/>
          <w:szCs w:val="18"/>
        </w:rPr>
        <w:t xml:space="preserve"> i uprzednio otrzymanej dostawy</w:t>
      </w:r>
      <w:r>
        <w:rPr>
          <w:rFonts w:ascii="Tahoma" w:hAnsi="Tahoma" w:cs="Tahoma"/>
          <w:sz w:val="18"/>
          <w:szCs w:val="18"/>
        </w:rPr>
        <w:t>, przelewem na konto Wykonawcy  wskazane w fakturze.</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036BC8">
        <w:rPr>
          <w:rFonts w:ascii="Tahoma" w:hAnsi="Tahoma" w:cs="Tahoma"/>
          <w:sz w:val="18"/>
          <w:szCs w:val="18"/>
        </w:rPr>
        <w:t>11</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lastRenderedPageBreak/>
        <w:t xml:space="preserve">Zamawiający dokona oceny czy Wykonawca nie podlega wykluczeniu na podstawie złożonego przez Wykonawcę aktualnego na dzień składania ofert, oświadczenia w zakresie wskazanym w załączniku nr </w:t>
      </w:r>
      <w:r w:rsidR="005E3EFB">
        <w:rPr>
          <w:rFonts w:ascii="Tahoma" w:hAnsi="Tahoma" w:cs="Tahoma"/>
          <w:sz w:val="18"/>
          <w:szCs w:val="18"/>
        </w:rPr>
        <w:t xml:space="preserve">4 </w:t>
      </w:r>
      <w:r>
        <w:rPr>
          <w:rFonts w:ascii="Tahoma" w:hAnsi="Tahoma" w:cs="Tahoma"/>
          <w:sz w:val="18"/>
          <w:szCs w:val="18"/>
        </w:rPr>
        <w:t>do SIWZ</w:t>
      </w:r>
      <w:r w:rsidR="00684F9B" w:rsidRPr="00F0280E">
        <w:rPr>
          <w:rFonts w:ascii="Tahoma" w:hAnsi="Tahoma" w:cs="Tahoma"/>
          <w:b/>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5E3EFB">
        <w:rPr>
          <w:rFonts w:ascii="Tahoma" w:hAnsi="Tahoma" w:cs="Tahoma"/>
          <w:sz w:val="18"/>
          <w:szCs w:val="18"/>
        </w:rPr>
        <w:t xml:space="preserve">4 </w:t>
      </w:r>
      <w:r>
        <w:rPr>
          <w:rFonts w:ascii="Tahoma" w:hAnsi="Tahoma" w:cs="Tahoma"/>
          <w:sz w:val="18"/>
          <w:szCs w:val="18"/>
        </w:rPr>
        <w:t>do SIWZ) stanowią wstępne potwierdzenie, że Wykonawca nie podlega wykluczeniu</w:t>
      </w:r>
      <w:r w:rsidR="004F21FA">
        <w:rPr>
          <w:rFonts w:ascii="Tahoma" w:hAnsi="Tahoma" w:cs="Tahoma"/>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w:t>
      </w:r>
      <w:r w:rsidR="008F5E81">
        <w:rPr>
          <w:rFonts w:ascii="Tahoma" w:hAnsi="Tahoma" w:cs="Tahoma"/>
          <w:sz w:val="18"/>
          <w:szCs w:val="18"/>
        </w:rPr>
        <w:t>,</w:t>
      </w:r>
      <w:r>
        <w:rPr>
          <w:rFonts w:ascii="Tahoma" w:hAnsi="Tahoma" w:cs="Tahoma"/>
          <w:sz w:val="18"/>
          <w:szCs w:val="18"/>
        </w:rPr>
        <w:t xml:space="preserve"> zamieszcza informacje o tych podmiotach w aktualnym na dzień składania ofert oświadczeniu (załącznik nr </w:t>
      </w:r>
      <w:r w:rsidR="00946BF5">
        <w:rPr>
          <w:rFonts w:ascii="Tahoma" w:hAnsi="Tahoma" w:cs="Tahoma"/>
          <w:sz w:val="18"/>
          <w:szCs w:val="18"/>
        </w:rPr>
        <w:t xml:space="preserve">4 </w:t>
      </w:r>
      <w:r w:rsidR="00BB73A2">
        <w:rPr>
          <w:rFonts w:ascii="Tahoma" w:hAnsi="Tahoma" w:cs="Tahoma"/>
          <w:sz w:val="18"/>
          <w:szCs w:val="18"/>
        </w:rPr>
        <w:t>d</w:t>
      </w:r>
      <w:r>
        <w:rPr>
          <w:rFonts w:ascii="Tahoma" w:hAnsi="Tahoma" w:cs="Tahoma"/>
          <w:sz w:val="18"/>
          <w:szCs w:val="18"/>
        </w:rPr>
        <w:t>o SIWZ).</w:t>
      </w:r>
    </w:p>
    <w:p w:rsidR="00F0280E" w:rsidRPr="006D0188" w:rsidRDefault="006D0188"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E2EB8">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465CA3">
        <w:rPr>
          <w:rFonts w:ascii="Tahoma" w:hAnsi="Tahoma"/>
          <w:b/>
          <w:sz w:val="18"/>
          <w:szCs w:val="18"/>
        </w:rPr>
        <w:t>4</w:t>
      </w:r>
      <w:r w:rsidR="00946BF5">
        <w:rPr>
          <w:rFonts w:ascii="Tahoma" w:hAnsi="Tahoma"/>
          <w:b/>
          <w:sz w:val="18"/>
          <w:szCs w:val="18"/>
        </w:rPr>
        <w:t xml:space="preserve"> </w:t>
      </w:r>
      <w:r>
        <w:rPr>
          <w:rFonts w:ascii="Tahoma" w:hAnsi="Tahoma"/>
          <w:b/>
          <w:sz w:val="18"/>
          <w:szCs w:val="18"/>
        </w:rPr>
        <w:t>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sidR="006C46BD">
        <w:rPr>
          <w:rFonts w:ascii="Tahoma" w:hAnsi="Tahoma" w:cs="Tahoma"/>
          <w:sz w:val="18"/>
          <w:szCs w:val="18"/>
        </w:rPr>
        <w:t>Dokumenty te</w:t>
      </w:r>
      <w:r w:rsidR="008F5E81">
        <w:rPr>
          <w:rFonts w:ascii="Tahoma" w:hAnsi="Tahoma" w:cs="Tahoma"/>
          <w:sz w:val="18"/>
          <w:szCs w:val="18"/>
        </w:rPr>
        <w:t xml:space="preserve"> wstępnie potwierdzają </w:t>
      </w:r>
      <w:r w:rsidR="006C46BD">
        <w:rPr>
          <w:rFonts w:ascii="Tahoma" w:hAnsi="Tahoma" w:cs="Tahoma"/>
          <w:sz w:val="18"/>
          <w:szCs w:val="18"/>
        </w:rPr>
        <w:t>brak podstaw wykluczenia</w:t>
      </w:r>
      <w:r>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lastRenderedPageBreak/>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00E8E" w:rsidRDefault="00681733" w:rsidP="006D3BC3">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561AA9" w:rsidRDefault="00561AA9" w:rsidP="00561AA9">
      <w:pPr>
        <w:spacing w:before="120"/>
        <w:ind w:left="426"/>
        <w:jc w:val="both"/>
        <w:rPr>
          <w:rFonts w:ascii="Tahoma" w:hAnsi="Tahoma" w:cs="Tahoma"/>
          <w:sz w:val="18"/>
          <w:szCs w:val="18"/>
        </w:rPr>
      </w:pPr>
      <w:r>
        <w:rPr>
          <w:rFonts w:ascii="Tahoma" w:hAnsi="Tahoma" w:cs="Tahoma"/>
          <w:b/>
          <w:sz w:val="18"/>
          <w:szCs w:val="18"/>
        </w:rPr>
        <w:t xml:space="preserve">Zamawiający nie stawia </w:t>
      </w:r>
      <w:r w:rsidR="00676EE8">
        <w:rPr>
          <w:rFonts w:ascii="Tahoma" w:hAnsi="Tahoma" w:cs="Tahoma"/>
          <w:b/>
          <w:sz w:val="18"/>
          <w:szCs w:val="18"/>
        </w:rPr>
        <w:t>warunków w celu potwierdzenia, że oferowany przedmiot zamówienia odpowiada wymaganiom określonym przez Zamawiającego.</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Pr="007E3A10" w:rsidRDefault="003A662C" w:rsidP="003A662C">
      <w:pPr>
        <w:numPr>
          <w:ilvl w:val="1"/>
          <w:numId w:val="18"/>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może, w celu potwierdzenia spełnienia warunków udziału w postępowaniu, w stosownych sytuacjach oraz w odniesieniu do konkretnego zamówienia, lub jego części polegać na zdolnościach </w:t>
      </w:r>
      <w:r w:rsidRPr="00C92B5D">
        <w:rPr>
          <w:rFonts w:ascii="Tahoma" w:hAnsi="Tahoma" w:cs="Tahoma"/>
          <w:sz w:val="18"/>
          <w:szCs w:val="18"/>
        </w:rPr>
        <w:lastRenderedPageBreak/>
        <w:t>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036073">
        <w:rPr>
          <w:rFonts w:ascii="Tahoma" w:hAnsi="Tahoma"/>
          <w:sz w:val="18"/>
          <w:szCs w:val="18"/>
        </w:rPr>
        <w:t xml:space="preserve"> brak podstaw wykluczenia</w:t>
      </w:r>
      <w:r w:rsidR="002C44F6" w:rsidRPr="00D456B4">
        <w:rPr>
          <w:rFonts w:ascii="Tahoma" w:hAnsi="Tahoma" w:cs="Tahoma"/>
          <w:sz w:val="18"/>
          <w:szCs w:val="18"/>
        </w:rPr>
        <w:t>,</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086662" w:rsidRPr="000C43ED" w:rsidRDefault="00086662"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Wymagania dotyczące wadium.</w:t>
      </w:r>
    </w:p>
    <w:p w:rsidR="006F74E4" w:rsidRDefault="00676EE8" w:rsidP="00676EE8">
      <w:pPr>
        <w:ind w:left="426"/>
        <w:jc w:val="both"/>
        <w:rPr>
          <w:rFonts w:ascii="Tahoma" w:hAnsi="Tahoma" w:cs="Tahoma"/>
          <w:bCs/>
          <w:sz w:val="18"/>
          <w:szCs w:val="18"/>
        </w:rPr>
      </w:pPr>
      <w:r>
        <w:rPr>
          <w:rFonts w:ascii="Tahoma" w:hAnsi="Tahoma" w:cs="Tahoma"/>
          <w:sz w:val="18"/>
          <w:szCs w:val="18"/>
        </w:rPr>
        <w:t>Zamawiający nie wymaga wniesienia wadium.</w:t>
      </w:r>
    </w:p>
    <w:p w:rsidR="0077446E" w:rsidRDefault="0077446E" w:rsidP="00864F31">
      <w:pPr>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025E"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0025E" w:rsidRPr="00F9433F" w:rsidRDefault="005008EC" w:rsidP="006D3BC3">
      <w:pPr>
        <w:numPr>
          <w:ilvl w:val="1"/>
          <w:numId w:val="8"/>
        </w:numPr>
        <w:spacing w:before="120"/>
        <w:ind w:left="567"/>
        <w:jc w:val="both"/>
        <w:rPr>
          <w:rFonts w:ascii="Tahoma" w:hAnsi="Tahoma" w:cs="Tahoma"/>
          <w:sz w:val="18"/>
          <w:szCs w:val="18"/>
        </w:rPr>
      </w:pPr>
      <w:r w:rsidRPr="00627466">
        <w:rPr>
          <w:rFonts w:ascii="Tahoma" w:hAnsi="Tahoma" w:cs="Tahoma"/>
          <w:sz w:val="18"/>
          <w:szCs w:val="18"/>
        </w:rPr>
        <w:t>Oferta wykonawcy, który nie zgodzi się na przedłużenie okresu związania ofertą</w:t>
      </w:r>
      <w:r w:rsidR="00676EE8">
        <w:rPr>
          <w:rFonts w:ascii="Tahoma" w:hAnsi="Tahoma" w:cs="Tahoma"/>
          <w:sz w:val="18"/>
          <w:szCs w:val="18"/>
        </w:rPr>
        <w:t>,</w:t>
      </w:r>
      <w:r w:rsidRPr="00627466">
        <w:rPr>
          <w:rFonts w:ascii="Tahoma" w:hAnsi="Tahoma" w:cs="Tahoma"/>
          <w:sz w:val="18"/>
          <w:szCs w:val="18"/>
        </w:rPr>
        <w:t xml:space="preserve"> zostanie odrzucona na podstawie art. 89 ust. 1 pkt. 7a </w:t>
      </w:r>
      <w:r w:rsidR="008C49DF">
        <w:rPr>
          <w:rFonts w:ascii="Tahoma" w:hAnsi="Tahoma" w:cs="Tahoma"/>
          <w:sz w:val="18"/>
          <w:szCs w:val="18"/>
        </w:rPr>
        <w:t>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 xml:space="preserve">12.8.1. </w:t>
      </w:r>
      <w:r w:rsidR="00FE4A24">
        <w:rPr>
          <w:rFonts w:ascii="Tahoma" w:hAnsi="Tahoma" w:cs="Tahoma"/>
          <w:sz w:val="18"/>
          <w:szCs w:val="18"/>
        </w:rPr>
        <w:t>wypełniony załącznik nr 1 do SIWZ – Formularz oferty</w:t>
      </w:r>
      <w:r w:rsidRPr="00C92B5D">
        <w:rPr>
          <w:rFonts w:ascii="Tahoma" w:hAnsi="Tahoma" w:cs="Tahoma"/>
          <w:sz w:val="18"/>
          <w:szCs w:val="18"/>
        </w:rPr>
        <w:t>,</w:t>
      </w:r>
    </w:p>
    <w:p w:rsidR="00FA67E0" w:rsidRPr="008541F2" w:rsidRDefault="00396A81" w:rsidP="00FE4A24">
      <w:pPr>
        <w:pStyle w:val="Akapitzlist"/>
        <w:ind w:left="993" w:hanging="567"/>
        <w:jc w:val="both"/>
        <w:rPr>
          <w:rFonts w:ascii="Tahoma" w:hAnsi="Tahoma" w:cs="Tahoma"/>
          <w:sz w:val="18"/>
          <w:szCs w:val="18"/>
        </w:rPr>
      </w:pPr>
      <w:r w:rsidRPr="00C92B5D">
        <w:rPr>
          <w:rFonts w:ascii="Tahoma" w:hAnsi="Tahoma" w:cs="Tahoma"/>
          <w:sz w:val="18"/>
          <w:szCs w:val="18"/>
        </w:rPr>
        <w:t>12.8.2</w:t>
      </w:r>
      <w:r w:rsidR="00FE4A24" w:rsidRPr="00FE4A24">
        <w:rPr>
          <w:rFonts w:ascii="Tahoma" w:hAnsi="Tahoma" w:cs="Tahoma"/>
          <w:sz w:val="18"/>
          <w:szCs w:val="18"/>
        </w:rPr>
        <w:t xml:space="preserve"> </w:t>
      </w:r>
      <w:r w:rsidR="00FE4A24">
        <w:rPr>
          <w:rFonts w:ascii="Tahoma" w:hAnsi="Tahoma" w:cs="Tahoma"/>
          <w:sz w:val="18"/>
          <w:szCs w:val="18"/>
        </w:rPr>
        <w:t xml:space="preserve">wypełniony załącznik nr 2 </w:t>
      </w:r>
      <w:r w:rsidR="008C49DF">
        <w:rPr>
          <w:rFonts w:ascii="Tahoma" w:hAnsi="Tahoma" w:cs="Tahoma"/>
          <w:sz w:val="18"/>
          <w:szCs w:val="18"/>
        </w:rPr>
        <w:t>do SIWZ</w:t>
      </w:r>
      <w:r w:rsidR="00FE4A24">
        <w:rPr>
          <w:rFonts w:ascii="Tahoma" w:hAnsi="Tahoma" w:cs="Tahoma"/>
          <w:sz w:val="18"/>
          <w:szCs w:val="18"/>
        </w:rPr>
        <w:t xml:space="preserve"> – Formularz cenowy </w:t>
      </w:r>
      <w:r w:rsidR="008C49DF">
        <w:rPr>
          <w:rFonts w:ascii="Tahoma" w:hAnsi="Tahoma" w:cs="Tahoma"/>
          <w:sz w:val="18"/>
          <w:szCs w:val="18"/>
        </w:rPr>
        <w:t>(Zamawiający, prosi o dodatkowe załączenie formularza cenowy w wersji elektronicznej np. na płycie CD)</w:t>
      </w:r>
      <w:r w:rsidR="00E05A8C" w:rsidRPr="00C92B5D">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FE4A24">
        <w:rPr>
          <w:rFonts w:ascii="Tahoma" w:hAnsi="Tahoma" w:cs="Tahoma"/>
          <w:sz w:val="18"/>
          <w:szCs w:val="18"/>
        </w:rPr>
        <w:t>4</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rsidR="00FA67E0" w:rsidRDefault="001C392E" w:rsidP="00396A81">
      <w:pPr>
        <w:pStyle w:val="Akapitzlist"/>
        <w:ind w:left="1134" w:hanging="708"/>
        <w:jc w:val="both"/>
        <w:rPr>
          <w:rFonts w:ascii="Tahoma" w:hAnsi="Tahoma" w:cs="Tahoma"/>
          <w:sz w:val="18"/>
          <w:szCs w:val="18"/>
        </w:rPr>
      </w:pPr>
      <w:r>
        <w:rPr>
          <w:rFonts w:ascii="Tahoma" w:hAnsi="Tahoma" w:cs="Tahoma"/>
          <w:sz w:val="18"/>
          <w:szCs w:val="18"/>
        </w:rPr>
        <w:t>12.8.</w:t>
      </w:r>
      <w:r w:rsidR="008C49DF">
        <w:rPr>
          <w:rFonts w:ascii="Tahoma" w:hAnsi="Tahoma" w:cs="Tahoma"/>
          <w:sz w:val="18"/>
          <w:szCs w:val="18"/>
        </w:rPr>
        <w:t>4</w:t>
      </w:r>
      <w:r>
        <w:rPr>
          <w:rFonts w:ascii="Tahoma" w:hAnsi="Tahoma" w:cs="Tahoma"/>
          <w:sz w:val="18"/>
          <w:szCs w:val="18"/>
        </w:rPr>
        <w:t xml:space="preserve">. załącznik nr 7 do SIWZ – zobowiązanie podmiotów trzecich (jeżeli dotyczy) </w:t>
      </w:r>
      <w:r w:rsidR="00FA67E0" w:rsidRPr="00FA67E0">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8C49DF">
        <w:rPr>
          <w:rFonts w:ascii="Tahoma" w:hAnsi="Tahoma" w:cs="Tahoma"/>
          <w:sz w:val="18"/>
          <w:szCs w:val="18"/>
        </w:rPr>
        <w:t>5</w:t>
      </w:r>
      <w:r w:rsidRPr="00FA67E0">
        <w:rPr>
          <w:rFonts w:ascii="Tahoma" w:hAnsi="Tahoma" w:cs="Tahoma"/>
          <w:sz w:val="18"/>
          <w:szCs w:val="18"/>
        </w:rPr>
        <w:t>. pełnomocnictwa – jeżeli niezbędne – vide pkt. 12.4. – 12.5. SIWZ.</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0"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0"/>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1"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1"/>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2"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2"/>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3"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3"/>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4"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4"/>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lastRenderedPageBreak/>
        <w:t>OFERTA PRZETARGOWA –</w:t>
      </w:r>
      <w:r w:rsidR="004D641B" w:rsidRPr="008C4971">
        <w:rPr>
          <w:rFonts w:ascii="Tahoma" w:hAnsi="Tahoma"/>
          <w:color w:val="0070C0"/>
          <w:sz w:val="18"/>
          <w:u w:val="single"/>
        </w:rPr>
        <w:t xml:space="preserve"> </w:t>
      </w:r>
      <w:r w:rsidR="008C4971" w:rsidRPr="008C4971">
        <w:rPr>
          <w:rFonts w:ascii="Tahoma" w:hAnsi="Tahoma"/>
          <w:color w:val="0070C0"/>
          <w:sz w:val="18"/>
          <w:u w:val="single"/>
        </w:rPr>
        <w:t>22</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60467A">
        <w:rPr>
          <w:rFonts w:ascii="Tahoma" w:hAnsi="Tahoma" w:cs="Tahoma"/>
          <w:b/>
          <w:color w:val="0070C0"/>
          <w:sz w:val="18"/>
          <w:szCs w:val="18"/>
        </w:rPr>
        <w:t>201</w:t>
      </w:r>
      <w:r w:rsidR="008B5EBC" w:rsidRPr="0060467A">
        <w:rPr>
          <w:rFonts w:ascii="Tahoma" w:hAnsi="Tahoma" w:cs="Tahoma"/>
          <w:b/>
          <w:color w:val="0070C0"/>
          <w:sz w:val="18"/>
          <w:szCs w:val="18"/>
        </w:rPr>
        <w:t>9</w:t>
      </w:r>
      <w:r w:rsidR="00CC28B8" w:rsidRPr="0060467A">
        <w:rPr>
          <w:rFonts w:ascii="Tahoma" w:hAnsi="Tahoma" w:cs="Tahoma"/>
          <w:b/>
          <w:color w:val="0070C0"/>
          <w:sz w:val="18"/>
          <w:szCs w:val="18"/>
        </w:rPr>
        <w:t>-0</w:t>
      </w:r>
      <w:r w:rsidR="0020590A" w:rsidRPr="0060467A">
        <w:rPr>
          <w:rFonts w:ascii="Tahoma" w:hAnsi="Tahoma" w:cs="Tahoma"/>
          <w:b/>
          <w:color w:val="0070C0"/>
          <w:sz w:val="18"/>
          <w:szCs w:val="18"/>
        </w:rPr>
        <w:t>7</w:t>
      </w:r>
      <w:r w:rsidR="00CC28B8" w:rsidRPr="0060467A">
        <w:rPr>
          <w:rFonts w:ascii="Tahoma" w:hAnsi="Tahoma" w:cs="Tahoma"/>
          <w:b/>
          <w:color w:val="0070C0"/>
          <w:sz w:val="18"/>
          <w:szCs w:val="18"/>
        </w:rPr>
        <w:t>-</w:t>
      </w:r>
      <w:r w:rsidR="0060467A" w:rsidRPr="0060467A">
        <w:rPr>
          <w:rFonts w:ascii="Tahoma" w:hAnsi="Tahoma" w:cs="Tahoma"/>
          <w:b/>
          <w:color w:val="0070C0"/>
          <w:sz w:val="18"/>
          <w:szCs w:val="18"/>
        </w:rPr>
        <w:t>08</w:t>
      </w:r>
      <w:r w:rsidR="00836E3D" w:rsidRPr="00465CA3">
        <w:rPr>
          <w:rFonts w:ascii="Tahoma" w:hAnsi="Tahoma"/>
          <w:b/>
          <w:color w:val="0070C0"/>
          <w:sz w:val="18"/>
        </w:rPr>
        <w:t xml:space="preserve"> </w:t>
      </w:r>
      <w:r w:rsidR="00DB3E22" w:rsidRPr="00465CA3">
        <w:rPr>
          <w:rFonts w:ascii="Tahoma" w:hAnsi="Tahoma"/>
          <w:b/>
          <w:color w:val="0070C0"/>
          <w:sz w:val="18"/>
        </w:rPr>
        <w:t>do godz. 12:00.</w:t>
      </w:r>
      <w:r w:rsidR="00DB3E22" w:rsidRPr="00BF14E7">
        <w:rPr>
          <w:rFonts w:ascii="Tahoma" w:hAnsi="Tahoma"/>
          <w:b/>
          <w:color w:val="C00000"/>
          <w:sz w:val="18"/>
        </w:rPr>
        <w:t xml:space="preserve"> </w:t>
      </w:r>
    </w:p>
    <w:p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w:t>
      </w:r>
      <w:bookmarkStart w:id="5" w:name="_GoBack"/>
      <w:bookmarkEnd w:id="5"/>
      <w:r w:rsidRPr="00C92B5D">
        <w:rPr>
          <w:rFonts w:ascii="Tahoma" w:hAnsi="Tahoma" w:cs="Tahoma"/>
          <w:sz w:val="18"/>
          <w:szCs w:val="18"/>
        </w:rPr>
        <w:t>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465CA3">
        <w:rPr>
          <w:rFonts w:ascii="Tahoma" w:hAnsi="Tahoma" w:cs="Tahoma"/>
          <w:b/>
          <w:color w:val="0070C0"/>
          <w:sz w:val="18"/>
          <w:szCs w:val="18"/>
        </w:rPr>
        <w:t xml:space="preserve">dnia </w:t>
      </w:r>
      <w:r w:rsidR="00CC28B8" w:rsidRPr="0060467A">
        <w:rPr>
          <w:rFonts w:ascii="Tahoma" w:hAnsi="Tahoma" w:cs="Tahoma"/>
          <w:b/>
          <w:color w:val="0070C0"/>
          <w:sz w:val="18"/>
          <w:szCs w:val="18"/>
        </w:rPr>
        <w:t>201</w:t>
      </w:r>
      <w:r w:rsidR="008B5EBC" w:rsidRPr="0060467A">
        <w:rPr>
          <w:rFonts w:ascii="Tahoma" w:hAnsi="Tahoma" w:cs="Tahoma"/>
          <w:b/>
          <w:color w:val="0070C0"/>
          <w:sz w:val="18"/>
          <w:szCs w:val="18"/>
        </w:rPr>
        <w:t>9</w:t>
      </w:r>
      <w:r w:rsidR="00CC28B8" w:rsidRPr="0060467A">
        <w:rPr>
          <w:rFonts w:ascii="Tahoma" w:hAnsi="Tahoma" w:cs="Tahoma"/>
          <w:b/>
          <w:color w:val="0070C0"/>
          <w:sz w:val="18"/>
          <w:szCs w:val="18"/>
        </w:rPr>
        <w:t>-0</w:t>
      </w:r>
      <w:r w:rsidR="0020590A" w:rsidRPr="0060467A">
        <w:rPr>
          <w:rFonts w:ascii="Tahoma" w:hAnsi="Tahoma" w:cs="Tahoma"/>
          <w:b/>
          <w:color w:val="0070C0"/>
          <w:sz w:val="18"/>
          <w:szCs w:val="18"/>
        </w:rPr>
        <w:t>7</w:t>
      </w:r>
      <w:r w:rsidR="00CC28B8" w:rsidRPr="0060467A">
        <w:rPr>
          <w:rFonts w:ascii="Tahoma" w:hAnsi="Tahoma" w:cs="Tahoma"/>
          <w:b/>
          <w:color w:val="0070C0"/>
          <w:sz w:val="18"/>
          <w:szCs w:val="18"/>
        </w:rPr>
        <w:t>-</w:t>
      </w:r>
      <w:r w:rsidR="0060467A" w:rsidRPr="0060467A">
        <w:rPr>
          <w:rFonts w:ascii="Tahoma" w:hAnsi="Tahoma" w:cs="Tahoma"/>
          <w:b/>
          <w:color w:val="0070C0"/>
          <w:sz w:val="18"/>
          <w:szCs w:val="18"/>
        </w:rPr>
        <w:t>08</w:t>
      </w:r>
      <w:r w:rsidR="00E802FF" w:rsidRPr="0060467A">
        <w:rPr>
          <w:rFonts w:ascii="Tahoma" w:hAnsi="Tahoma"/>
          <w:b/>
          <w:color w:val="0070C0"/>
          <w:sz w:val="18"/>
        </w:rPr>
        <w:t xml:space="preserve"> </w:t>
      </w:r>
      <w:r w:rsidR="00487430" w:rsidRPr="0060467A">
        <w:rPr>
          <w:rFonts w:ascii="Tahoma" w:hAnsi="Tahoma" w:cs="Tahoma"/>
          <w:b/>
          <w:color w:val="0070C0"/>
          <w:sz w:val="18"/>
          <w:szCs w:val="18"/>
        </w:rPr>
        <w:t>o</w:t>
      </w:r>
      <w:r w:rsidR="00487430" w:rsidRPr="00465CA3">
        <w:rPr>
          <w:rFonts w:ascii="Tahoma" w:hAnsi="Tahoma" w:cs="Tahoma"/>
          <w:b/>
          <w:color w:val="0070C0"/>
          <w:sz w:val="18"/>
          <w:szCs w:val="18"/>
        </w:rPr>
        <w:t xml:space="preserve"> godz. </w:t>
      </w:r>
      <w:r w:rsidR="00B34484" w:rsidRPr="00465CA3">
        <w:rPr>
          <w:rFonts w:ascii="Tahoma" w:hAnsi="Tahoma" w:cs="Tahoma"/>
          <w:b/>
          <w:color w:val="0070C0"/>
          <w:sz w:val="18"/>
          <w:szCs w:val="18"/>
        </w:rPr>
        <w:t>12</w:t>
      </w:r>
      <w:r w:rsidR="00487430" w:rsidRPr="00465CA3">
        <w:rPr>
          <w:rFonts w:ascii="Tahoma" w:hAnsi="Tahoma" w:cs="Tahoma"/>
          <w:b/>
          <w:color w:val="0070C0"/>
          <w:sz w:val="18"/>
          <w:szCs w:val="18"/>
        </w:rPr>
        <w:t>:30</w:t>
      </w:r>
      <w:r w:rsidR="00487430" w:rsidRPr="00465CA3">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lastRenderedPageBreak/>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xml:space="preserve">) Oferowana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6"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6"/>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t>
      </w:r>
      <w:r w:rsidR="002A38ED" w:rsidRPr="00F9433F">
        <w:rPr>
          <w:rFonts w:ascii="Tahoma" w:hAnsi="Tahoma" w:cs="Tahoma"/>
          <w:sz w:val="18"/>
          <w:szCs w:val="18"/>
        </w:rPr>
        <w:lastRenderedPageBreak/>
        <w:t>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lastRenderedPageBreak/>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295107">
        <w:rPr>
          <w:rFonts w:ascii="Tahoma" w:hAnsi="Tahoma" w:cs="Tahoma"/>
          <w:b/>
          <w:color w:val="0070C0"/>
          <w:sz w:val="18"/>
          <w:szCs w:val="18"/>
        </w:rPr>
        <w:t xml:space="preserve">Sukcesywne dostawy artykułów spożywczych,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295107">
        <w:rPr>
          <w:rFonts w:ascii="Tahoma" w:hAnsi="Tahoma" w:cs="Tahoma"/>
          <w:b/>
          <w:bCs/>
          <w:sz w:val="18"/>
          <w:szCs w:val="18"/>
        </w:rPr>
        <w:t>28</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w:t>
      </w:r>
      <w:r w:rsidRPr="007D4F61">
        <w:rPr>
          <w:rFonts w:ascii="Tahoma" w:hAnsi="Tahoma" w:cs="Tahoma"/>
          <w:sz w:val="18"/>
          <w:szCs w:val="18"/>
        </w:rPr>
        <w:lastRenderedPageBreak/>
        <w:t>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81" w:rsidRDefault="008F5E81">
      <w:r>
        <w:separator/>
      </w:r>
    </w:p>
  </w:endnote>
  <w:endnote w:type="continuationSeparator" w:id="0">
    <w:p w:rsidR="008F5E81" w:rsidRDefault="008F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Default="008F5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F5E81" w:rsidRDefault="008F5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Pr="003B7A9F" w:rsidRDefault="008F5E81">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8F5E81" w:rsidRDefault="008F5E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81" w:rsidRDefault="008F5E81">
      <w:r>
        <w:separator/>
      </w:r>
    </w:p>
  </w:footnote>
  <w:footnote w:type="continuationSeparator" w:id="0">
    <w:p w:rsidR="008F5E81" w:rsidRDefault="008F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Pr="00CD3493" w:rsidRDefault="008F5E81">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28</w:t>
    </w:r>
    <w:r w:rsidRPr="00CD3493">
      <w:rPr>
        <w:rFonts w:ascii="Tahoma" w:hAnsi="Tahoma" w:cs="Tahoma"/>
        <w:sz w:val="18"/>
        <w:szCs w:val="18"/>
      </w:rPr>
      <w:t>/ZP/201</w:t>
    </w:r>
    <w:r>
      <w:rPr>
        <w:rFonts w:ascii="Tahoma" w:hAnsi="Tahoma" w:cs="Tahoma"/>
        <w:sz w:val="18"/>
        <w:szCs w:val="18"/>
      </w:rPr>
      <w:t>9</w:t>
    </w:r>
  </w:p>
  <w:p w:rsidR="008F5E81" w:rsidRDefault="008F5E81">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0"/>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971"/>
    <w:rsid w:val="008C49DF"/>
    <w:rsid w:val="008C6212"/>
    <w:rsid w:val="008D2713"/>
    <w:rsid w:val="008D4023"/>
    <w:rsid w:val="008E1CDE"/>
    <w:rsid w:val="008E1E89"/>
    <w:rsid w:val="008E2B02"/>
    <w:rsid w:val="008E3D7C"/>
    <w:rsid w:val="008E3ECB"/>
    <w:rsid w:val="008E4E7D"/>
    <w:rsid w:val="008E58D8"/>
    <w:rsid w:val="008E594C"/>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DCC"/>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ABF"/>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0F6B40A"/>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46B0-CF16-4825-8542-43572E0B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14</Pages>
  <Words>7219</Words>
  <Characters>47704</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54814</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10</cp:revision>
  <cp:lastPrinted>2019-06-25T08:00:00Z</cp:lastPrinted>
  <dcterms:created xsi:type="dcterms:W3CDTF">2019-04-04T08:21:00Z</dcterms:created>
  <dcterms:modified xsi:type="dcterms:W3CDTF">2019-06-25T08:02:00Z</dcterms:modified>
</cp:coreProperties>
</file>